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D5538E" w:rsidRPr="00451389" w:rsidTr="00AE57BD">
        <w:tc>
          <w:tcPr>
            <w:tcW w:w="4898" w:type="dxa"/>
            <w:shd w:val="clear" w:color="auto" w:fill="auto"/>
          </w:tcPr>
          <w:p w:rsidR="00D5538E" w:rsidRPr="00451389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</w:p>
          <w:p w:rsidR="00D5538E" w:rsidRPr="00451389" w:rsidRDefault="00D5538E" w:rsidP="00AE57BD">
            <w:pPr>
              <w:tabs>
                <w:tab w:val="left" w:pos="330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99" w:type="dxa"/>
            <w:shd w:val="clear" w:color="auto" w:fill="auto"/>
          </w:tcPr>
          <w:p w:rsidR="00D5538E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  <w:r w:rsidRPr="00451389">
              <w:rPr>
                <w:sz w:val="28"/>
                <w:szCs w:val="28"/>
                <w:lang w:val="uk-UA"/>
              </w:rPr>
              <w:t>ЗАТВЕРДЖЕНО</w:t>
            </w:r>
          </w:p>
          <w:p w:rsidR="00D5538E" w:rsidRPr="00D5538E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двадцять п’ятої сесії</w:t>
            </w:r>
          </w:p>
          <w:p w:rsidR="00D5538E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Ніжинської районної ради</w:t>
            </w:r>
          </w:p>
          <w:p w:rsidR="00D5538E" w:rsidRPr="00451389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сьомого скликання</w:t>
            </w:r>
          </w:p>
          <w:p w:rsidR="00D5538E" w:rsidRPr="00123839" w:rsidRDefault="00D5538E" w:rsidP="00AE5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 грудня 201</w:t>
            </w:r>
            <w:r w:rsidRPr="002B21B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D5538E" w:rsidRPr="00451389" w:rsidRDefault="00D5538E" w:rsidP="00AE57BD">
            <w:pPr>
              <w:tabs>
                <w:tab w:val="left" w:pos="330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5538E" w:rsidRDefault="00D5538E" w:rsidP="00D5538E">
      <w:pPr>
        <w:rPr>
          <w:lang w:val="uk-UA"/>
        </w:rPr>
      </w:pPr>
    </w:p>
    <w:p w:rsidR="00D5538E" w:rsidRDefault="00D5538E" w:rsidP="00D5538E">
      <w:pPr>
        <w:rPr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C5871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418"/>
        </w:tabs>
        <w:jc w:val="center"/>
        <w:rPr>
          <w:lang w:val="uk-UA"/>
        </w:rPr>
      </w:pPr>
    </w:p>
    <w:p w:rsidR="00D5538E" w:rsidRPr="002A3A9D" w:rsidRDefault="00D5538E" w:rsidP="00D5538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  <w:lang w:val="uk-UA"/>
        </w:rPr>
      </w:pPr>
      <w:r w:rsidRPr="002A3A9D">
        <w:rPr>
          <w:b/>
          <w:bCs/>
          <w:sz w:val="28"/>
          <w:szCs w:val="28"/>
          <w:lang w:val="uk-UA"/>
        </w:rPr>
        <w:t>ПРОГРАМА</w:t>
      </w:r>
    </w:p>
    <w:p w:rsidR="00D5538E" w:rsidRDefault="00D5538E" w:rsidP="00D5538E">
      <w:pPr>
        <w:jc w:val="both"/>
        <w:rPr>
          <w:b/>
          <w:sz w:val="28"/>
          <w:szCs w:val="28"/>
          <w:lang w:val="uk-UA"/>
        </w:rPr>
      </w:pPr>
    </w:p>
    <w:p w:rsidR="00D5538E" w:rsidRDefault="00D5538E" w:rsidP="00D5538E">
      <w:pPr>
        <w:jc w:val="center"/>
        <w:rPr>
          <w:b/>
          <w:sz w:val="28"/>
          <w:szCs w:val="28"/>
          <w:lang w:val="uk-UA"/>
        </w:rPr>
      </w:pPr>
      <w:r w:rsidRPr="00E85BC9">
        <w:rPr>
          <w:b/>
          <w:sz w:val="28"/>
          <w:szCs w:val="28"/>
          <w:lang w:val="uk-UA"/>
        </w:rPr>
        <w:t>відшкодування компенсації за перевезення окремих пільгових</w:t>
      </w:r>
    </w:p>
    <w:p w:rsidR="00D5538E" w:rsidRDefault="00D5538E" w:rsidP="00D5538E">
      <w:pPr>
        <w:jc w:val="center"/>
        <w:rPr>
          <w:b/>
          <w:sz w:val="28"/>
          <w:szCs w:val="28"/>
          <w:lang w:val="uk-UA"/>
        </w:rPr>
      </w:pPr>
      <w:r w:rsidRPr="00E85BC9">
        <w:rPr>
          <w:b/>
          <w:sz w:val="28"/>
          <w:szCs w:val="28"/>
          <w:lang w:val="uk-UA"/>
        </w:rPr>
        <w:t>категорій громадян на приміських маршрутах загального</w:t>
      </w:r>
    </w:p>
    <w:p w:rsidR="00D5538E" w:rsidRDefault="00D5538E" w:rsidP="00D5538E">
      <w:pPr>
        <w:jc w:val="center"/>
        <w:rPr>
          <w:b/>
          <w:sz w:val="28"/>
          <w:szCs w:val="28"/>
          <w:lang w:val="uk-UA"/>
        </w:rPr>
      </w:pPr>
      <w:r w:rsidRPr="00E85BC9">
        <w:rPr>
          <w:b/>
          <w:sz w:val="28"/>
          <w:szCs w:val="28"/>
          <w:lang w:val="uk-UA"/>
        </w:rPr>
        <w:t xml:space="preserve">користування </w:t>
      </w:r>
      <w:r>
        <w:rPr>
          <w:b/>
          <w:sz w:val="28"/>
          <w:szCs w:val="28"/>
          <w:lang w:val="uk-UA"/>
        </w:rPr>
        <w:t xml:space="preserve"> </w:t>
      </w:r>
      <w:r w:rsidRPr="00E85BC9">
        <w:rPr>
          <w:b/>
          <w:sz w:val="28"/>
          <w:szCs w:val="28"/>
          <w:lang w:val="uk-UA"/>
        </w:rPr>
        <w:t>автомобільним транспортом</w:t>
      </w:r>
    </w:p>
    <w:p w:rsidR="00D5538E" w:rsidRPr="00E85BC9" w:rsidRDefault="00D5538E" w:rsidP="00D5538E">
      <w:pPr>
        <w:jc w:val="center"/>
        <w:rPr>
          <w:b/>
          <w:sz w:val="28"/>
          <w:szCs w:val="28"/>
          <w:lang w:val="uk-UA"/>
        </w:rPr>
      </w:pPr>
      <w:r w:rsidRPr="00E85BC9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Ніжинс</w:t>
      </w:r>
      <w:r w:rsidRPr="00E85BC9">
        <w:rPr>
          <w:b/>
          <w:sz w:val="28"/>
          <w:szCs w:val="28"/>
          <w:lang w:val="uk-UA"/>
        </w:rPr>
        <w:t>ькому районі на 20</w:t>
      </w:r>
      <w:r w:rsidRPr="00D5538E">
        <w:rPr>
          <w:b/>
          <w:sz w:val="28"/>
          <w:szCs w:val="28"/>
        </w:rPr>
        <w:t>20</w:t>
      </w:r>
      <w:r w:rsidRPr="00E85BC9">
        <w:rPr>
          <w:b/>
          <w:sz w:val="28"/>
          <w:szCs w:val="28"/>
          <w:lang w:val="uk-UA"/>
        </w:rPr>
        <w:t xml:space="preserve"> рік</w:t>
      </w:r>
    </w:p>
    <w:p w:rsidR="00D5538E" w:rsidRPr="002A3A9D" w:rsidRDefault="00D5538E" w:rsidP="00D5538E">
      <w:pPr>
        <w:jc w:val="center"/>
        <w:rPr>
          <w:sz w:val="56"/>
          <w:szCs w:val="56"/>
          <w:lang w:val="uk-UA"/>
        </w:rPr>
      </w:pPr>
    </w:p>
    <w:p w:rsidR="00D5538E" w:rsidRPr="002A3A9D" w:rsidRDefault="00D5538E" w:rsidP="00D5538E">
      <w:pPr>
        <w:jc w:val="center"/>
        <w:rPr>
          <w:sz w:val="56"/>
          <w:szCs w:val="56"/>
          <w:lang w:val="uk-UA"/>
        </w:rPr>
      </w:pPr>
    </w:p>
    <w:p w:rsidR="00D5538E" w:rsidRPr="002A3A9D" w:rsidRDefault="00D5538E" w:rsidP="00D5538E">
      <w:pPr>
        <w:jc w:val="center"/>
        <w:rPr>
          <w:sz w:val="56"/>
          <w:szCs w:val="56"/>
          <w:lang w:val="uk-UA"/>
        </w:rPr>
      </w:pPr>
    </w:p>
    <w:p w:rsidR="00D5538E" w:rsidRPr="002A3A9D" w:rsidRDefault="00D5538E" w:rsidP="00D5538E">
      <w:pPr>
        <w:jc w:val="center"/>
        <w:rPr>
          <w:sz w:val="56"/>
          <w:szCs w:val="56"/>
          <w:lang w:val="uk-UA"/>
        </w:rPr>
      </w:pPr>
    </w:p>
    <w:p w:rsidR="00D5538E" w:rsidRPr="002A3A9D" w:rsidRDefault="00D5538E" w:rsidP="00D5538E">
      <w:pPr>
        <w:jc w:val="center"/>
        <w:rPr>
          <w:sz w:val="56"/>
          <w:szCs w:val="56"/>
          <w:lang w:val="uk-UA"/>
        </w:rPr>
      </w:pPr>
    </w:p>
    <w:p w:rsidR="00D5538E" w:rsidRPr="002A3A9D" w:rsidRDefault="00D5538E" w:rsidP="00D5538E">
      <w:pPr>
        <w:jc w:val="center"/>
        <w:rPr>
          <w:sz w:val="56"/>
          <w:szCs w:val="56"/>
          <w:lang w:val="uk-UA"/>
        </w:rPr>
      </w:pPr>
    </w:p>
    <w:p w:rsidR="00D5538E" w:rsidRPr="002A3A9D" w:rsidRDefault="00D5538E" w:rsidP="00D5538E">
      <w:pPr>
        <w:jc w:val="center"/>
        <w:rPr>
          <w:sz w:val="56"/>
          <w:szCs w:val="56"/>
          <w:lang w:val="uk-UA"/>
        </w:rPr>
      </w:pPr>
    </w:p>
    <w:p w:rsidR="00D5538E" w:rsidRDefault="00D5538E" w:rsidP="00D5538E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D5538E" w:rsidRDefault="00D5538E" w:rsidP="00D5538E">
      <w:pPr>
        <w:pStyle w:val="a3"/>
        <w:spacing w:before="0" w:beforeAutospacing="0" w:after="0" w:afterAutospacing="0"/>
        <w:ind w:left="2832" w:firstLine="708"/>
        <w:rPr>
          <w:b/>
          <w:sz w:val="28"/>
          <w:szCs w:val="28"/>
          <w:lang w:val="uk-UA"/>
        </w:rPr>
      </w:pPr>
    </w:p>
    <w:p w:rsidR="00D5538E" w:rsidRDefault="00D5538E" w:rsidP="00D5538E">
      <w:pPr>
        <w:pStyle w:val="a3"/>
        <w:spacing w:before="0" w:beforeAutospacing="0" w:after="0" w:afterAutospacing="0"/>
        <w:ind w:left="2832" w:firstLine="708"/>
        <w:rPr>
          <w:b/>
          <w:sz w:val="28"/>
          <w:szCs w:val="28"/>
          <w:lang w:val="uk-UA"/>
        </w:rPr>
      </w:pPr>
    </w:p>
    <w:p w:rsidR="00D5538E" w:rsidRDefault="00D5538E" w:rsidP="00D5538E">
      <w:pPr>
        <w:pStyle w:val="a3"/>
        <w:spacing w:before="0" w:beforeAutospacing="0" w:after="0" w:afterAutospacing="0"/>
        <w:ind w:left="2832" w:firstLine="708"/>
        <w:rPr>
          <w:b/>
          <w:sz w:val="28"/>
          <w:szCs w:val="28"/>
          <w:lang w:val="uk-UA"/>
        </w:rPr>
      </w:pPr>
    </w:p>
    <w:p w:rsidR="00D5538E" w:rsidRPr="00251A3D" w:rsidRDefault="00D5538E" w:rsidP="00D5538E">
      <w:pPr>
        <w:jc w:val="center"/>
        <w:rPr>
          <w:b/>
          <w:bCs/>
          <w:sz w:val="28"/>
          <w:szCs w:val="28"/>
        </w:rPr>
      </w:pPr>
      <w:r w:rsidRPr="00251A3D">
        <w:rPr>
          <w:b/>
          <w:bCs/>
          <w:sz w:val="28"/>
          <w:szCs w:val="28"/>
        </w:rPr>
        <w:t>1. ПАСПОРТ</w:t>
      </w:r>
    </w:p>
    <w:p w:rsidR="00D5538E" w:rsidRPr="00251A3D" w:rsidRDefault="00D5538E" w:rsidP="00D5538E">
      <w:pPr>
        <w:jc w:val="center"/>
        <w:rPr>
          <w:sz w:val="28"/>
          <w:szCs w:val="28"/>
        </w:rPr>
      </w:pPr>
      <w:proofErr w:type="spellStart"/>
      <w:r w:rsidRPr="00251A3D">
        <w:rPr>
          <w:sz w:val="28"/>
          <w:szCs w:val="28"/>
        </w:rPr>
        <w:lastRenderedPageBreak/>
        <w:t>Програми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відшкодування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компенсації</w:t>
      </w:r>
      <w:proofErr w:type="spellEnd"/>
      <w:r w:rsidRPr="00251A3D">
        <w:rPr>
          <w:sz w:val="28"/>
          <w:szCs w:val="28"/>
        </w:rPr>
        <w:t xml:space="preserve"> за </w:t>
      </w:r>
      <w:proofErr w:type="spellStart"/>
      <w:r w:rsidRPr="00251A3D">
        <w:rPr>
          <w:sz w:val="28"/>
          <w:szCs w:val="28"/>
        </w:rPr>
        <w:t>перевезення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окремих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пільгових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категорій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громадян</w:t>
      </w:r>
      <w:proofErr w:type="spellEnd"/>
      <w:r w:rsidRPr="00251A3D">
        <w:rPr>
          <w:sz w:val="28"/>
          <w:szCs w:val="28"/>
        </w:rPr>
        <w:t xml:space="preserve"> на </w:t>
      </w:r>
      <w:proofErr w:type="spellStart"/>
      <w:r w:rsidRPr="00251A3D">
        <w:rPr>
          <w:sz w:val="28"/>
          <w:szCs w:val="28"/>
        </w:rPr>
        <w:t>приміських</w:t>
      </w:r>
      <w:proofErr w:type="spellEnd"/>
      <w:r w:rsidRPr="00251A3D">
        <w:rPr>
          <w:sz w:val="28"/>
          <w:szCs w:val="28"/>
        </w:rPr>
        <w:t xml:space="preserve"> маршрутах </w:t>
      </w:r>
      <w:proofErr w:type="spellStart"/>
      <w:r w:rsidRPr="00251A3D">
        <w:rPr>
          <w:sz w:val="28"/>
          <w:szCs w:val="28"/>
        </w:rPr>
        <w:t>загального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користування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автомобільним</w:t>
      </w:r>
      <w:proofErr w:type="spellEnd"/>
      <w:r w:rsidRPr="00251A3D">
        <w:rPr>
          <w:sz w:val="28"/>
          <w:szCs w:val="28"/>
        </w:rPr>
        <w:t xml:space="preserve"> транспортом у </w:t>
      </w:r>
      <w:proofErr w:type="spellStart"/>
      <w:r w:rsidRPr="00251A3D">
        <w:rPr>
          <w:sz w:val="28"/>
          <w:szCs w:val="28"/>
        </w:rPr>
        <w:t>Ніжинському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районі</w:t>
      </w:r>
      <w:proofErr w:type="spellEnd"/>
      <w:r w:rsidRPr="00251A3D"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20</w:t>
      </w:r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рік</w:t>
      </w:r>
      <w:proofErr w:type="spellEnd"/>
    </w:p>
    <w:p w:rsidR="00D5538E" w:rsidRPr="00251A3D" w:rsidRDefault="00D5538E" w:rsidP="00D5538E">
      <w:pPr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"/>
        <w:gridCol w:w="3754"/>
        <w:gridCol w:w="5580"/>
      </w:tblGrid>
      <w:tr w:rsidR="00D5538E" w:rsidRPr="00251A3D" w:rsidTr="00AE57BD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proofErr w:type="spellStart"/>
            <w:r w:rsidRPr="00251A3D">
              <w:rPr>
                <w:sz w:val="28"/>
                <w:szCs w:val="28"/>
              </w:rPr>
              <w:t>Ініціатор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розроблення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Програми</w:t>
            </w:r>
            <w:proofErr w:type="spellEnd"/>
            <w:r w:rsidRPr="00251A3D">
              <w:rPr>
                <w:sz w:val="28"/>
                <w:szCs w:val="28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proofErr w:type="spellStart"/>
            <w:r w:rsidRPr="00251A3D">
              <w:rPr>
                <w:sz w:val="28"/>
                <w:szCs w:val="28"/>
              </w:rPr>
              <w:t>Управління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соціального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захисту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населення</w:t>
            </w:r>
            <w:proofErr w:type="spellEnd"/>
            <w:r w:rsidRPr="00251A3D">
              <w:rPr>
                <w:sz w:val="28"/>
                <w:szCs w:val="28"/>
              </w:rPr>
              <w:t xml:space="preserve"> рай</w:t>
            </w:r>
            <w:proofErr w:type="spellStart"/>
            <w:r>
              <w:rPr>
                <w:sz w:val="28"/>
                <w:szCs w:val="28"/>
                <w:lang w:val="uk-UA"/>
              </w:rPr>
              <w:t>онної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держ</w:t>
            </w:r>
            <w:r>
              <w:rPr>
                <w:sz w:val="28"/>
                <w:szCs w:val="28"/>
                <w:lang w:val="uk-UA"/>
              </w:rPr>
              <w:t>авної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D5538E" w:rsidRPr="00251A3D" w:rsidTr="00AE57BD">
        <w:trPr>
          <w:trHeight w:val="37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 xml:space="preserve">Дата, номер і </w:t>
            </w:r>
            <w:proofErr w:type="spellStart"/>
            <w:r w:rsidRPr="00251A3D">
              <w:rPr>
                <w:sz w:val="28"/>
                <w:szCs w:val="28"/>
              </w:rPr>
              <w:t>назва</w:t>
            </w:r>
            <w:proofErr w:type="spellEnd"/>
            <w:r w:rsidRPr="00251A3D">
              <w:rPr>
                <w:sz w:val="28"/>
                <w:szCs w:val="28"/>
              </w:rPr>
              <w:t xml:space="preserve"> документа органу </w:t>
            </w:r>
            <w:proofErr w:type="spellStart"/>
            <w:r w:rsidRPr="00251A3D">
              <w:rPr>
                <w:sz w:val="28"/>
                <w:szCs w:val="28"/>
              </w:rPr>
              <w:t>державної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влади</w:t>
            </w:r>
            <w:proofErr w:type="spellEnd"/>
            <w:r w:rsidRPr="00251A3D">
              <w:rPr>
                <w:sz w:val="28"/>
                <w:szCs w:val="28"/>
              </w:rPr>
              <w:t xml:space="preserve"> про </w:t>
            </w:r>
            <w:proofErr w:type="spellStart"/>
            <w:r w:rsidRPr="00251A3D">
              <w:rPr>
                <w:sz w:val="28"/>
                <w:szCs w:val="28"/>
              </w:rPr>
              <w:t>розроблення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Програми</w:t>
            </w:r>
            <w:proofErr w:type="spellEnd"/>
            <w:r w:rsidRPr="00251A3D">
              <w:rPr>
                <w:sz w:val="28"/>
                <w:szCs w:val="28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FD0654" w:rsidRDefault="00D5538E" w:rsidP="00AE57BD">
            <w:pPr>
              <w:jc w:val="both"/>
              <w:rPr>
                <w:sz w:val="28"/>
                <w:szCs w:val="28"/>
              </w:rPr>
            </w:pPr>
            <w:r w:rsidRPr="00FD0654">
              <w:rPr>
                <w:sz w:val="28"/>
                <w:szCs w:val="28"/>
              </w:rPr>
              <w:t xml:space="preserve">Закон </w:t>
            </w:r>
            <w:proofErr w:type="spellStart"/>
            <w:r w:rsidRPr="00FD0654">
              <w:rPr>
                <w:sz w:val="28"/>
                <w:szCs w:val="28"/>
              </w:rPr>
              <w:t>України</w:t>
            </w:r>
            <w:proofErr w:type="spellEnd"/>
            <w:r w:rsidRPr="00FD0654">
              <w:rPr>
                <w:sz w:val="28"/>
                <w:szCs w:val="28"/>
              </w:rPr>
              <w:t xml:space="preserve"> «Про статус </w:t>
            </w:r>
            <w:proofErr w:type="spellStart"/>
            <w:r w:rsidRPr="00FD0654">
              <w:rPr>
                <w:sz w:val="28"/>
                <w:szCs w:val="28"/>
              </w:rPr>
              <w:t>ветеранів</w:t>
            </w:r>
            <w:proofErr w:type="spellEnd"/>
            <w:r w:rsidRPr="00FD0654">
              <w:rPr>
                <w:sz w:val="28"/>
                <w:szCs w:val="28"/>
              </w:rPr>
              <w:t xml:space="preserve"> </w:t>
            </w:r>
            <w:proofErr w:type="spellStart"/>
            <w:r w:rsidRPr="00FD0654">
              <w:rPr>
                <w:sz w:val="28"/>
                <w:szCs w:val="28"/>
              </w:rPr>
              <w:t>війни</w:t>
            </w:r>
            <w:proofErr w:type="spellEnd"/>
            <w:r w:rsidRPr="00FD0654">
              <w:rPr>
                <w:sz w:val="28"/>
                <w:szCs w:val="28"/>
              </w:rPr>
              <w:t xml:space="preserve">, </w:t>
            </w:r>
            <w:proofErr w:type="spellStart"/>
            <w:r w:rsidRPr="00FD0654">
              <w:rPr>
                <w:sz w:val="28"/>
                <w:szCs w:val="28"/>
              </w:rPr>
              <w:t>гарантії</w:t>
            </w:r>
            <w:proofErr w:type="spellEnd"/>
            <w:r w:rsidRPr="00FD0654">
              <w:rPr>
                <w:sz w:val="28"/>
                <w:szCs w:val="28"/>
              </w:rPr>
              <w:t xml:space="preserve"> </w:t>
            </w:r>
            <w:proofErr w:type="spellStart"/>
            <w:r w:rsidRPr="00FD0654">
              <w:rPr>
                <w:sz w:val="28"/>
                <w:szCs w:val="28"/>
              </w:rPr>
              <w:t>їх</w:t>
            </w:r>
            <w:proofErr w:type="spellEnd"/>
            <w:r w:rsidRPr="00FD0654">
              <w:rPr>
                <w:sz w:val="28"/>
                <w:szCs w:val="28"/>
              </w:rPr>
              <w:t xml:space="preserve"> </w:t>
            </w:r>
            <w:proofErr w:type="spellStart"/>
            <w:r w:rsidRPr="00FD0654">
              <w:rPr>
                <w:sz w:val="28"/>
                <w:szCs w:val="28"/>
              </w:rPr>
              <w:t>соціального</w:t>
            </w:r>
            <w:proofErr w:type="spellEnd"/>
            <w:r w:rsidRPr="00FD065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654">
              <w:rPr>
                <w:sz w:val="28"/>
                <w:szCs w:val="28"/>
              </w:rPr>
              <w:t>захисту</w:t>
            </w:r>
            <w:proofErr w:type="spellEnd"/>
            <w:r w:rsidRPr="00FD0654">
              <w:rPr>
                <w:sz w:val="28"/>
                <w:szCs w:val="28"/>
              </w:rPr>
              <w:t xml:space="preserve">» </w:t>
            </w:r>
            <w:r w:rsidRPr="00FD0654">
              <w:rPr>
                <w:sz w:val="28"/>
                <w:szCs w:val="28"/>
                <w:lang w:val="uk-UA"/>
              </w:rPr>
              <w:t xml:space="preserve">  </w:t>
            </w:r>
            <w:proofErr w:type="gramEnd"/>
            <w:r w:rsidRPr="00FD0654">
              <w:rPr>
                <w:sz w:val="28"/>
                <w:szCs w:val="28"/>
                <w:lang w:val="uk-UA"/>
              </w:rPr>
              <w:t xml:space="preserve">                             </w:t>
            </w:r>
            <w:proofErr w:type="spellStart"/>
            <w:r w:rsidRPr="00FD0654">
              <w:rPr>
                <w:sz w:val="28"/>
                <w:szCs w:val="28"/>
              </w:rPr>
              <w:t>від</w:t>
            </w:r>
            <w:proofErr w:type="spellEnd"/>
            <w:r w:rsidRPr="00FD0654">
              <w:rPr>
                <w:sz w:val="28"/>
                <w:szCs w:val="28"/>
              </w:rPr>
              <w:t xml:space="preserve"> 22 </w:t>
            </w:r>
            <w:proofErr w:type="spellStart"/>
            <w:r w:rsidRPr="00FD0654">
              <w:rPr>
                <w:sz w:val="28"/>
                <w:szCs w:val="28"/>
              </w:rPr>
              <w:t>жовтня</w:t>
            </w:r>
            <w:proofErr w:type="spellEnd"/>
            <w:r w:rsidRPr="00FD0654">
              <w:rPr>
                <w:sz w:val="28"/>
                <w:szCs w:val="28"/>
              </w:rPr>
              <w:t xml:space="preserve"> 1993 № 3551</w:t>
            </w:r>
          </w:p>
          <w:p w:rsidR="00D5538E" w:rsidRPr="00FD0654" w:rsidRDefault="00D5538E" w:rsidP="00AE57BD">
            <w:pPr>
              <w:jc w:val="both"/>
              <w:rPr>
                <w:sz w:val="28"/>
                <w:szCs w:val="28"/>
                <w:lang w:val="uk-UA"/>
              </w:rPr>
            </w:pPr>
            <w:r w:rsidRPr="00FD0654">
              <w:rPr>
                <w:sz w:val="28"/>
                <w:szCs w:val="28"/>
              </w:rPr>
              <w:t xml:space="preserve">Закон </w:t>
            </w:r>
            <w:proofErr w:type="spellStart"/>
            <w:proofErr w:type="gramStart"/>
            <w:r w:rsidRPr="00FD0654">
              <w:rPr>
                <w:sz w:val="28"/>
                <w:szCs w:val="28"/>
              </w:rPr>
              <w:t>України</w:t>
            </w:r>
            <w:proofErr w:type="spellEnd"/>
            <w:r w:rsidRPr="00FD0654">
              <w:rPr>
                <w:sz w:val="28"/>
                <w:szCs w:val="28"/>
              </w:rPr>
              <w:t>  «</w:t>
            </w:r>
            <w:proofErr w:type="gramEnd"/>
            <w:r w:rsidRPr="00FD0654">
              <w:rPr>
                <w:sz w:val="28"/>
                <w:szCs w:val="28"/>
              </w:rPr>
              <w:t xml:space="preserve">Про </w:t>
            </w:r>
            <w:proofErr w:type="spellStart"/>
            <w:r w:rsidRPr="00FD0654">
              <w:rPr>
                <w:sz w:val="28"/>
                <w:szCs w:val="28"/>
              </w:rPr>
              <w:t>охорону</w:t>
            </w:r>
            <w:proofErr w:type="spellEnd"/>
            <w:r w:rsidRPr="00FD0654">
              <w:rPr>
                <w:sz w:val="28"/>
                <w:szCs w:val="28"/>
              </w:rPr>
              <w:t xml:space="preserve"> </w:t>
            </w:r>
            <w:proofErr w:type="spellStart"/>
            <w:r w:rsidRPr="00FD0654">
              <w:rPr>
                <w:sz w:val="28"/>
                <w:szCs w:val="28"/>
              </w:rPr>
              <w:t>дитинства</w:t>
            </w:r>
            <w:proofErr w:type="spellEnd"/>
            <w:r w:rsidRPr="00FD0654">
              <w:rPr>
                <w:sz w:val="28"/>
                <w:szCs w:val="28"/>
              </w:rPr>
              <w:t xml:space="preserve">» </w:t>
            </w:r>
            <w:proofErr w:type="spellStart"/>
            <w:r w:rsidRPr="00FD0654">
              <w:rPr>
                <w:sz w:val="28"/>
                <w:szCs w:val="28"/>
              </w:rPr>
              <w:t>від</w:t>
            </w:r>
            <w:proofErr w:type="spellEnd"/>
            <w:r w:rsidRPr="00FD0654">
              <w:rPr>
                <w:sz w:val="28"/>
                <w:szCs w:val="28"/>
              </w:rPr>
              <w:t xml:space="preserve"> 26 </w:t>
            </w:r>
            <w:proofErr w:type="spellStart"/>
            <w:r w:rsidRPr="00FD0654">
              <w:rPr>
                <w:sz w:val="28"/>
                <w:szCs w:val="28"/>
              </w:rPr>
              <w:t>квітня</w:t>
            </w:r>
            <w:proofErr w:type="spellEnd"/>
            <w:r w:rsidRPr="00FD0654">
              <w:rPr>
                <w:sz w:val="28"/>
                <w:szCs w:val="28"/>
              </w:rPr>
              <w:t xml:space="preserve"> 2001 № 2402-III</w:t>
            </w:r>
          </w:p>
          <w:p w:rsidR="00D5538E" w:rsidRPr="00FD0654" w:rsidRDefault="00D5538E" w:rsidP="00AE57BD">
            <w:pPr>
              <w:jc w:val="both"/>
              <w:rPr>
                <w:sz w:val="28"/>
                <w:szCs w:val="28"/>
              </w:rPr>
            </w:pPr>
            <w:r w:rsidRPr="00FD0654">
              <w:rPr>
                <w:sz w:val="28"/>
                <w:szCs w:val="28"/>
                <w:lang w:val="uk-UA"/>
              </w:rPr>
              <w:t>Закон України «</w:t>
            </w:r>
            <w:r w:rsidRPr="00FD0654">
              <w:rPr>
                <w:rStyle w:val="a4"/>
                <w:b w:val="0"/>
                <w:sz w:val="28"/>
                <w:szCs w:val="28"/>
              </w:rPr>
              <w:t xml:space="preserve">Про статус i </w:t>
            </w:r>
            <w:proofErr w:type="spellStart"/>
            <w:r w:rsidRPr="00FD0654">
              <w:rPr>
                <w:rStyle w:val="a4"/>
                <w:b w:val="0"/>
                <w:sz w:val="28"/>
                <w:szCs w:val="28"/>
              </w:rPr>
              <w:t>соцiальний</w:t>
            </w:r>
            <w:proofErr w:type="spellEnd"/>
            <w:r w:rsidRPr="00FD0654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D0654">
              <w:rPr>
                <w:rStyle w:val="a4"/>
                <w:b w:val="0"/>
                <w:sz w:val="28"/>
                <w:szCs w:val="28"/>
              </w:rPr>
              <w:t>захист</w:t>
            </w:r>
            <w:proofErr w:type="spellEnd"/>
            <w:r w:rsidRPr="00FD0654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D0654">
              <w:rPr>
                <w:rStyle w:val="a4"/>
                <w:b w:val="0"/>
                <w:sz w:val="28"/>
                <w:szCs w:val="28"/>
              </w:rPr>
              <w:t>громадян</w:t>
            </w:r>
            <w:proofErr w:type="spellEnd"/>
            <w:r w:rsidRPr="00FD0654">
              <w:rPr>
                <w:rStyle w:val="a4"/>
                <w:b w:val="0"/>
                <w:sz w:val="28"/>
                <w:szCs w:val="28"/>
              </w:rPr>
              <w:t xml:space="preserve">, </w:t>
            </w:r>
            <w:proofErr w:type="spellStart"/>
            <w:r w:rsidRPr="00FD0654">
              <w:rPr>
                <w:rStyle w:val="a4"/>
                <w:b w:val="0"/>
                <w:sz w:val="28"/>
                <w:szCs w:val="28"/>
              </w:rPr>
              <w:t>якi</w:t>
            </w:r>
            <w:proofErr w:type="spellEnd"/>
            <w:r w:rsidRPr="00FD065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0654">
              <w:rPr>
                <w:rStyle w:val="a4"/>
                <w:b w:val="0"/>
                <w:sz w:val="28"/>
                <w:szCs w:val="28"/>
              </w:rPr>
              <w:t>постраждали</w:t>
            </w:r>
            <w:proofErr w:type="spellEnd"/>
            <w:r w:rsidRPr="00FD0654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D0654">
              <w:rPr>
                <w:rStyle w:val="a4"/>
                <w:b w:val="0"/>
                <w:sz w:val="28"/>
                <w:szCs w:val="28"/>
              </w:rPr>
              <w:t>внаслiдок</w:t>
            </w:r>
            <w:proofErr w:type="spellEnd"/>
            <w:r w:rsidRPr="00FD0654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D0654">
              <w:rPr>
                <w:rStyle w:val="a4"/>
                <w:b w:val="0"/>
                <w:sz w:val="28"/>
                <w:szCs w:val="28"/>
              </w:rPr>
              <w:t>Чорнобильської</w:t>
            </w:r>
            <w:proofErr w:type="spellEnd"/>
            <w:r w:rsidRPr="00FD0654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D0654">
              <w:rPr>
                <w:rStyle w:val="a4"/>
                <w:b w:val="0"/>
                <w:sz w:val="28"/>
                <w:szCs w:val="28"/>
              </w:rPr>
              <w:t>катастрофи</w:t>
            </w:r>
            <w:proofErr w:type="spellEnd"/>
            <w:r w:rsidRPr="00FD0654">
              <w:rPr>
                <w:rStyle w:val="a4"/>
                <w:b w:val="0"/>
                <w:sz w:val="28"/>
                <w:szCs w:val="28"/>
                <w:lang w:val="uk-UA"/>
              </w:rPr>
              <w:t>»</w:t>
            </w:r>
          </w:p>
          <w:p w:rsidR="00D5538E" w:rsidRPr="00FD0654" w:rsidRDefault="00D5538E" w:rsidP="00AE57BD">
            <w:pPr>
              <w:jc w:val="both"/>
              <w:rPr>
                <w:sz w:val="28"/>
                <w:szCs w:val="28"/>
                <w:lang w:val="uk-UA"/>
              </w:rPr>
            </w:pPr>
            <w:r w:rsidRPr="00FD0654">
              <w:rPr>
                <w:sz w:val="28"/>
                <w:szCs w:val="28"/>
              </w:rPr>
              <w:t xml:space="preserve">Постанова КМУ </w:t>
            </w:r>
            <w:proofErr w:type="spellStart"/>
            <w:r w:rsidRPr="00FD0654">
              <w:rPr>
                <w:sz w:val="28"/>
                <w:szCs w:val="28"/>
              </w:rPr>
              <w:t>від</w:t>
            </w:r>
            <w:proofErr w:type="spellEnd"/>
            <w:r w:rsidRPr="00FD0654">
              <w:rPr>
                <w:sz w:val="28"/>
                <w:szCs w:val="28"/>
              </w:rPr>
              <w:t xml:space="preserve"> 16 </w:t>
            </w:r>
            <w:proofErr w:type="spellStart"/>
            <w:r w:rsidRPr="00FD0654">
              <w:rPr>
                <w:sz w:val="28"/>
                <w:szCs w:val="28"/>
              </w:rPr>
              <w:t>серпня</w:t>
            </w:r>
            <w:proofErr w:type="spellEnd"/>
            <w:r w:rsidRPr="00FD0654">
              <w:rPr>
                <w:sz w:val="28"/>
                <w:szCs w:val="28"/>
              </w:rPr>
              <w:t xml:space="preserve"> 1994 р. </w:t>
            </w:r>
            <w:r w:rsidRPr="00FD0654">
              <w:rPr>
                <w:sz w:val="28"/>
                <w:szCs w:val="28"/>
                <w:lang w:val="uk-UA"/>
              </w:rPr>
              <w:t xml:space="preserve">                </w:t>
            </w:r>
            <w:r w:rsidRPr="00FD0654">
              <w:rPr>
                <w:sz w:val="28"/>
                <w:szCs w:val="28"/>
              </w:rPr>
              <w:t xml:space="preserve">№ 555 «Про </w:t>
            </w:r>
            <w:proofErr w:type="spellStart"/>
            <w:r w:rsidRPr="00FD0654">
              <w:rPr>
                <w:sz w:val="28"/>
                <w:szCs w:val="28"/>
              </w:rPr>
              <w:t>поширення</w:t>
            </w:r>
            <w:proofErr w:type="spellEnd"/>
            <w:r w:rsidRPr="00FD0654">
              <w:rPr>
                <w:sz w:val="28"/>
                <w:szCs w:val="28"/>
              </w:rPr>
              <w:t xml:space="preserve"> </w:t>
            </w:r>
            <w:proofErr w:type="spellStart"/>
            <w:r w:rsidRPr="00FD0654">
              <w:rPr>
                <w:sz w:val="28"/>
                <w:szCs w:val="28"/>
              </w:rPr>
              <w:t>чинності</w:t>
            </w:r>
            <w:proofErr w:type="spellEnd"/>
            <w:r w:rsidRPr="00FD0654">
              <w:rPr>
                <w:sz w:val="28"/>
                <w:szCs w:val="28"/>
              </w:rPr>
              <w:t xml:space="preserve"> постанови </w:t>
            </w:r>
            <w:proofErr w:type="spellStart"/>
            <w:r w:rsidRPr="00FD0654">
              <w:rPr>
                <w:sz w:val="28"/>
                <w:szCs w:val="28"/>
              </w:rPr>
              <w:t>Кабінету</w:t>
            </w:r>
            <w:proofErr w:type="spellEnd"/>
            <w:r w:rsidRPr="00FD0654">
              <w:rPr>
                <w:sz w:val="28"/>
                <w:szCs w:val="28"/>
              </w:rPr>
              <w:t xml:space="preserve"> </w:t>
            </w:r>
            <w:proofErr w:type="spellStart"/>
            <w:r w:rsidRPr="00FD0654">
              <w:rPr>
                <w:sz w:val="28"/>
                <w:szCs w:val="28"/>
              </w:rPr>
              <w:t>Міністрів</w:t>
            </w:r>
            <w:proofErr w:type="spellEnd"/>
            <w:r w:rsidRPr="00FD0654">
              <w:rPr>
                <w:sz w:val="28"/>
                <w:szCs w:val="28"/>
              </w:rPr>
              <w:t xml:space="preserve"> </w:t>
            </w:r>
            <w:proofErr w:type="spellStart"/>
            <w:r w:rsidRPr="00FD0654">
              <w:rPr>
                <w:sz w:val="28"/>
                <w:szCs w:val="28"/>
              </w:rPr>
              <w:t>України</w:t>
            </w:r>
            <w:proofErr w:type="spellEnd"/>
            <w:r w:rsidRPr="00FD0654">
              <w:rPr>
                <w:sz w:val="28"/>
                <w:szCs w:val="28"/>
              </w:rPr>
              <w:t xml:space="preserve"> </w:t>
            </w:r>
            <w:proofErr w:type="spellStart"/>
            <w:r w:rsidRPr="00FD0654">
              <w:rPr>
                <w:sz w:val="28"/>
                <w:szCs w:val="28"/>
              </w:rPr>
              <w:t>від</w:t>
            </w:r>
            <w:proofErr w:type="spellEnd"/>
            <w:r w:rsidRPr="00FD0654">
              <w:rPr>
                <w:sz w:val="28"/>
                <w:szCs w:val="28"/>
              </w:rPr>
              <w:t xml:space="preserve"> 17 </w:t>
            </w:r>
            <w:proofErr w:type="spellStart"/>
            <w:r w:rsidRPr="00FD0654">
              <w:rPr>
                <w:sz w:val="28"/>
                <w:szCs w:val="28"/>
              </w:rPr>
              <w:t>травня</w:t>
            </w:r>
            <w:proofErr w:type="spellEnd"/>
            <w:r w:rsidRPr="00FD0654">
              <w:rPr>
                <w:sz w:val="28"/>
                <w:szCs w:val="28"/>
              </w:rPr>
              <w:t xml:space="preserve"> 1993 р.</w:t>
            </w:r>
            <w:r w:rsidRPr="00FD0654">
              <w:rPr>
                <w:sz w:val="28"/>
                <w:szCs w:val="28"/>
                <w:lang w:val="uk-UA"/>
              </w:rPr>
              <w:t xml:space="preserve"> </w:t>
            </w:r>
            <w:r w:rsidRPr="00FD0654">
              <w:rPr>
                <w:sz w:val="28"/>
                <w:szCs w:val="28"/>
              </w:rPr>
              <w:t>№ 354»</w:t>
            </w:r>
          </w:p>
        </w:tc>
      </w:tr>
      <w:tr w:rsidR="00D5538E" w:rsidRPr="00251A3D" w:rsidTr="00AE5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proofErr w:type="spellStart"/>
            <w:r w:rsidRPr="00251A3D">
              <w:rPr>
                <w:sz w:val="28"/>
                <w:szCs w:val="28"/>
              </w:rPr>
              <w:t>Розробник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Програми</w:t>
            </w:r>
            <w:proofErr w:type="spellEnd"/>
            <w:r w:rsidRPr="00251A3D">
              <w:rPr>
                <w:sz w:val="28"/>
                <w:szCs w:val="28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proofErr w:type="spellStart"/>
            <w:r w:rsidRPr="00251A3D">
              <w:rPr>
                <w:sz w:val="28"/>
                <w:szCs w:val="28"/>
              </w:rPr>
              <w:t>Управління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соціального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захисту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населення</w:t>
            </w:r>
            <w:proofErr w:type="spellEnd"/>
            <w:r w:rsidRPr="00251A3D">
              <w:rPr>
                <w:sz w:val="28"/>
                <w:szCs w:val="28"/>
              </w:rPr>
              <w:t xml:space="preserve"> рай</w:t>
            </w:r>
            <w:proofErr w:type="spellStart"/>
            <w:r>
              <w:rPr>
                <w:sz w:val="28"/>
                <w:szCs w:val="28"/>
                <w:lang w:val="uk-UA"/>
              </w:rPr>
              <w:t>онної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держ</w:t>
            </w:r>
            <w:r>
              <w:rPr>
                <w:sz w:val="28"/>
                <w:szCs w:val="28"/>
                <w:lang w:val="uk-UA"/>
              </w:rPr>
              <w:t>авної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D5538E" w:rsidRPr="00251A3D" w:rsidTr="00AE5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proofErr w:type="spellStart"/>
            <w:r w:rsidRPr="00251A3D">
              <w:rPr>
                <w:sz w:val="28"/>
                <w:szCs w:val="28"/>
              </w:rPr>
              <w:t>Відповідальний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виконавець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Програми</w:t>
            </w:r>
            <w:proofErr w:type="spellEnd"/>
            <w:r w:rsidRPr="00251A3D">
              <w:rPr>
                <w:sz w:val="28"/>
                <w:szCs w:val="28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proofErr w:type="spellStart"/>
            <w:r w:rsidRPr="00251A3D">
              <w:rPr>
                <w:sz w:val="28"/>
                <w:szCs w:val="28"/>
              </w:rPr>
              <w:t>Управління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соціального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захисту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населення</w:t>
            </w:r>
            <w:proofErr w:type="spellEnd"/>
            <w:r w:rsidRPr="00251A3D">
              <w:rPr>
                <w:sz w:val="28"/>
                <w:szCs w:val="28"/>
              </w:rPr>
              <w:t xml:space="preserve"> рай</w:t>
            </w:r>
            <w:proofErr w:type="spellStart"/>
            <w:r>
              <w:rPr>
                <w:sz w:val="28"/>
                <w:szCs w:val="28"/>
                <w:lang w:val="uk-UA"/>
              </w:rPr>
              <w:t>онної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держ</w:t>
            </w:r>
            <w:r>
              <w:rPr>
                <w:sz w:val="28"/>
                <w:szCs w:val="28"/>
                <w:lang w:val="uk-UA"/>
              </w:rPr>
              <w:t>авної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D5538E" w:rsidRPr="00251A3D" w:rsidTr="00AE5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proofErr w:type="spellStart"/>
            <w:r w:rsidRPr="00251A3D">
              <w:rPr>
                <w:sz w:val="28"/>
                <w:szCs w:val="28"/>
              </w:rPr>
              <w:t>Учасники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Програми</w:t>
            </w:r>
            <w:proofErr w:type="spellEnd"/>
            <w:r w:rsidRPr="00251A3D">
              <w:rPr>
                <w:sz w:val="28"/>
                <w:szCs w:val="28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1A3D">
              <w:rPr>
                <w:sz w:val="28"/>
                <w:szCs w:val="28"/>
              </w:rPr>
              <w:t>Управління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соціального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захисту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населення</w:t>
            </w:r>
            <w:proofErr w:type="spellEnd"/>
            <w:r w:rsidRPr="00251A3D">
              <w:rPr>
                <w:sz w:val="28"/>
                <w:szCs w:val="28"/>
              </w:rPr>
              <w:t xml:space="preserve">, </w:t>
            </w:r>
            <w:proofErr w:type="spellStart"/>
            <w:r w:rsidRPr="00251A3D">
              <w:rPr>
                <w:sz w:val="28"/>
                <w:szCs w:val="28"/>
              </w:rPr>
              <w:t>фінансове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управління</w:t>
            </w:r>
            <w:proofErr w:type="spellEnd"/>
            <w:r w:rsidRPr="00251A3D">
              <w:rPr>
                <w:sz w:val="28"/>
                <w:szCs w:val="28"/>
              </w:rPr>
              <w:t xml:space="preserve"> рай</w:t>
            </w:r>
            <w:proofErr w:type="spellStart"/>
            <w:r>
              <w:rPr>
                <w:sz w:val="28"/>
                <w:szCs w:val="28"/>
                <w:lang w:val="uk-UA"/>
              </w:rPr>
              <w:t>онної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держ</w:t>
            </w:r>
            <w:r>
              <w:rPr>
                <w:sz w:val="28"/>
                <w:szCs w:val="28"/>
                <w:lang w:val="uk-UA"/>
              </w:rPr>
              <w:t>авної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адміністрації</w:t>
            </w:r>
            <w:proofErr w:type="spellEnd"/>
            <w:r w:rsidRPr="00251A3D">
              <w:rPr>
                <w:sz w:val="28"/>
                <w:szCs w:val="28"/>
              </w:rPr>
              <w:t xml:space="preserve">, </w:t>
            </w:r>
            <w:proofErr w:type="spellStart"/>
            <w:r w:rsidRPr="00251A3D">
              <w:rPr>
                <w:sz w:val="28"/>
                <w:szCs w:val="28"/>
              </w:rPr>
              <w:t>сільські</w:t>
            </w:r>
            <w:proofErr w:type="spellEnd"/>
            <w:r w:rsidRPr="00251A3D">
              <w:rPr>
                <w:sz w:val="28"/>
                <w:szCs w:val="28"/>
              </w:rPr>
              <w:t xml:space="preserve"> ради </w:t>
            </w:r>
            <w:proofErr w:type="spellStart"/>
            <w:r w:rsidRPr="00251A3D">
              <w:rPr>
                <w:sz w:val="28"/>
                <w:szCs w:val="28"/>
              </w:rPr>
              <w:t>Ніжинського</w:t>
            </w:r>
            <w:proofErr w:type="spellEnd"/>
            <w:r w:rsidRPr="00251A3D">
              <w:rPr>
                <w:sz w:val="28"/>
                <w:szCs w:val="28"/>
              </w:rPr>
              <w:t xml:space="preserve"> району</w:t>
            </w:r>
          </w:p>
        </w:tc>
      </w:tr>
      <w:tr w:rsidR="00D5538E" w:rsidRPr="00251A3D" w:rsidTr="00AE57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proofErr w:type="spellStart"/>
            <w:r w:rsidRPr="00251A3D">
              <w:rPr>
                <w:sz w:val="28"/>
                <w:szCs w:val="28"/>
              </w:rPr>
              <w:t>Термін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реалізації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Програми</w:t>
            </w:r>
            <w:proofErr w:type="spellEnd"/>
            <w:r w:rsidRPr="00251A3D">
              <w:rPr>
                <w:sz w:val="28"/>
                <w:szCs w:val="28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D5538E" w:rsidRPr="00251A3D" w:rsidTr="00AE57BD">
        <w:trPr>
          <w:trHeight w:val="301"/>
        </w:trPr>
        <w:tc>
          <w:tcPr>
            <w:tcW w:w="566" w:type="dxa"/>
            <w:gridSpan w:val="2"/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7.</w:t>
            </w:r>
          </w:p>
        </w:tc>
        <w:tc>
          <w:tcPr>
            <w:tcW w:w="3754" w:type="dxa"/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proofErr w:type="spellStart"/>
            <w:r w:rsidRPr="00251A3D">
              <w:rPr>
                <w:sz w:val="28"/>
                <w:szCs w:val="28"/>
              </w:rPr>
              <w:t>Обсяг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фінансових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ресурсів</w:t>
            </w:r>
            <w:proofErr w:type="spellEnd"/>
            <w:r w:rsidRPr="00251A3D">
              <w:rPr>
                <w:sz w:val="28"/>
                <w:szCs w:val="28"/>
              </w:rPr>
              <w:t xml:space="preserve">, </w:t>
            </w:r>
            <w:proofErr w:type="spellStart"/>
            <w:r w:rsidRPr="00251A3D">
              <w:rPr>
                <w:sz w:val="28"/>
                <w:szCs w:val="28"/>
              </w:rPr>
              <w:t>необхідних</w:t>
            </w:r>
            <w:proofErr w:type="spellEnd"/>
            <w:r w:rsidRPr="00251A3D">
              <w:rPr>
                <w:sz w:val="28"/>
                <w:szCs w:val="28"/>
              </w:rPr>
              <w:t xml:space="preserve"> для </w:t>
            </w:r>
            <w:proofErr w:type="spellStart"/>
            <w:r w:rsidRPr="00251A3D">
              <w:rPr>
                <w:sz w:val="28"/>
                <w:szCs w:val="28"/>
              </w:rPr>
              <w:t>реалізації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80" w:type="dxa"/>
            <w:shd w:val="clear" w:color="auto" w:fill="auto"/>
            <w:vAlign w:val="bottom"/>
          </w:tcPr>
          <w:p w:rsidR="00D5538E" w:rsidRDefault="00D5538E" w:rsidP="00AE5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21000,00</w:t>
            </w:r>
          </w:p>
          <w:p w:rsidR="00D5538E" w:rsidRPr="000C7904" w:rsidRDefault="00D5538E" w:rsidP="00AE5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538E" w:rsidRPr="00251A3D" w:rsidTr="00AE57BD">
        <w:tc>
          <w:tcPr>
            <w:tcW w:w="566" w:type="dxa"/>
            <w:gridSpan w:val="2"/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8.</w:t>
            </w:r>
          </w:p>
        </w:tc>
        <w:tc>
          <w:tcPr>
            <w:tcW w:w="3754" w:type="dxa"/>
            <w:shd w:val="clear" w:color="auto" w:fill="auto"/>
          </w:tcPr>
          <w:p w:rsidR="00D5538E" w:rsidRPr="00251A3D" w:rsidRDefault="00D5538E" w:rsidP="00AE57BD">
            <w:pPr>
              <w:jc w:val="both"/>
              <w:rPr>
                <w:sz w:val="28"/>
                <w:szCs w:val="28"/>
              </w:rPr>
            </w:pPr>
            <w:proofErr w:type="spellStart"/>
            <w:r w:rsidRPr="00251A3D">
              <w:rPr>
                <w:sz w:val="28"/>
                <w:szCs w:val="28"/>
              </w:rPr>
              <w:t>Основні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джерела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фінансування</w:t>
            </w:r>
            <w:proofErr w:type="spellEnd"/>
            <w:r w:rsidRPr="00251A3D">
              <w:rPr>
                <w:sz w:val="28"/>
                <w:szCs w:val="28"/>
              </w:rPr>
              <w:t xml:space="preserve"> </w:t>
            </w:r>
            <w:proofErr w:type="spellStart"/>
            <w:r w:rsidRPr="00251A3D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D5538E" w:rsidRPr="00FD0654" w:rsidRDefault="00D5538E" w:rsidP="00AE57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251A3D">
              <w:rPr>
                <w:sz w:val="28"/>
                <w:szCs w:val="28"/>
              </w:rPr>
              <w:t>айонний</w:t>
            </w:r>
            <w:proofErr w:type="spellEnd"/>
            <w:r w:rsidRPr="00251A3D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  <w:lang w:val="uk-UA"/>
              </w:rPr>
              <w:t>, бюджети сільських рад та інші джерела, не заборонені законодавством.</w:t>
            </w:r>
          </w:p>
        </w:tc>
      </w:tr>
    </w:tbl>
    <w:p w:rsidR="00D5538E" w:rsidRDefault="00D5538E" w:rsidP="00D5538E">
      <w:pPr>
        <w:ind w:firstLine="708"/>
        <w:rPr>
          <w:sz w:val="28"/>
          <w:szCs w:val="28"/>
          <w:lang w:val="uk-UA"/>
        </w:rPr>
      </w:pPr>
    </w:p>
    <w:p w:rsidR="00D5538E" w:rsidRDefault="00D5538E" w:rsidP="00D5538E">
      <w:pPr>
        <w:ind w:firstLine="708"/>
        <w:rPr>
          <w:sz w:val="28"/>
          <w:szCs w:val="28"/>
          <w:lang w:val="uk-UA"/>
        </w:rPr>
      </w:pPr>
      <w:r w:rsidRPr="00251A3D">
        <w:rPr>
          <w:sz w:val="28"/>
          <w:szCs w:val="28"/>
        </w:rPr>
        <w:t xml:space="preserve">2. </w:t>
      </w:r>
      <w:proofErr w:type="spellStart"/>
      <w:r w:rsidRPr="00251A3D">
        <w:rPr>
          <w:sz w:val="28"/>
          <w:szCs w:val="28"/>
        </w:rPr>
        <w:t>Визначення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проблеми</w:t>
      </w:r>
      <w:proofErr w:type="spellEnd"/>
      <w:r w:rsidRPr="00251A3D">
        <w:rPr>
          <w:sz w:val="28"/>
          <w:szCs w:val="28"/>
        </w:rPr>
        <w:t xml:space="preserve">, на </w:t>
      </w:r>
      <w:proofErr w:type="spellStart"/>
      <w:r w:rsidRPr="00251A3D">
        <w:rPr>
          <w:sz w:val="28"/>
          <w:szCs w:val="28"/>
        </w:rPr>
        <w:t>розв’язання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якої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спрямовано</w:t>
      </w:r>
      <w:proofErr w:type="spellEnd"/>
      <w:r w:rsidRPr="00251A3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>
        <w:rPr>
          <w:sz w:val="28"/>
          <w:szCs w:val="28"/>
          <w:lang w:val="uk-UA"/>
        </w:rPr>
        <w:t>.</w:t>
      </w:r>
    </w:p>
    <w:p w:rsidR="00D5538E" w:rsidRPr="002428B2" w:rsidRDefault="00D5538E" w:rsidP="00D5538E">
      <w:pPr>
        <w:ind w:firstLine="708"/>
        <w:rPr>
          <w:sz w:val="28"/>
          <w:szCs w:val="28"/>
          <w:lang w:val="uk-UA"/>
        </w:rPr>
      </w:pPr>
    </w:p>
    <w:p w:rsidR="00D5538E" w:rsidRDefault="00D5538E" w:rsidP="00D553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обліку в Єдиному державному автоматизованому реєстрі осіб, які мають право на пільги, по управлінню соціального захисту населення Ніжинської районної державної адміністрації перебувають 6710 осіб, які мають право на пільговий проїзд у приміському транспорті загального користування згідно чинного законодавства. </w:t>
      </w:r>
    </w:p>
    <w:p w:rsidR="00D5538E" w:rsidRDefault="00D5538E" w:rsidP="00D5538E">
      <w:pPr>
        <w:ind w:firstLine="708"/>
        <w:jc w:val="both"/>
        <w:rPr>
          <w:sz w:val="28"/>
          <w:szCs w:val="28"/>
          <w:lang w:val="uk-UA"/>
        </w:rPr>
      </w:pPr>
    </w:p>
    <w:p w:rsidR="00D5538E" w:rsidRPr="00251A3D" w:rsidRDefault="00D5538E" w:rsidP="00D55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Законі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України</w:t>
      </w:r>
      <w:proofErr w:type="spellEnd"/>
      <w:r w:rsidRPr="00251A3D">
        <w:rPr>
          <w:sz w:val="28"/>
          <w:szCs w:val="28"/>
        </w:rPr>
        <w:t xml:space="preserve"> «Про </w:t>
      </w:r>
      <w:proofErr w:type="spellStart"/>
      <w:r w:rsidRPr="00251A3D">
        <w:rPr>
          <w:sz w:val="28"/>
          <w:szCs w:val="28"/>
        </w:rPr>
        <w:t>Державний</w:t>
      </w:r>
      <w:proofErr w:type="spellEnd"/>
      <w:r w:rsidRPr="00251A3D">
        <w:rPr>
          <w:sz w:val="28"/>
          <w:szCs w:val="28"/>
        </w:rPr>
        <w:t xml:space="preserve"> бюджет </w:t>
      </w:r>
      <w:proofErr w:type="spellStart"/>
      <w:r w:rsidRPr="00251A3D">
        <w:rPr>
          <w:sz w:val="28"/>
          <w:szCs w:val="28"/>
        </w:rPr>
        <w:t>України</w:t>
      </w:r>
      <w:proofErr w:type="spellEnd"/>
      <w:r w:rsidRPr="00251A3D">
        <w:rPr>
          <w:sz w:val="28"/>
          <w:szCs w:val="28"/>
        </w:rPr>
        <w:t xml:space="preserve">» </w:t>
      </w:r>
      <w:proofErr w:type="spellStart"/>
      <w:r w:rsidRPr="00251A3D">
        <w:rPr>
          <w:sz w:val="28"/>
          <w:szCs w:val="28"/>
        </w:rPr>
        <w:t>відповідні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видатки</w:t>
      </w:r>
      <w:proofErr w:type="spellEnd"/>
      <w:r w:rsidRPr="00251A3D">
        <w:rPr>
          <w:sz w:val="28"/>
          <w:szCs w:val="28"/>
        </w:rPr>
        <w:t xml:space="preserve"> у </w:t>
      </w:r>
      <w:proofErr w:type="spellStart"/>
      <w:r w:rsidRPr="00251A3D">
        <w:rPr>
          <w:sz w:val="28"/>
          <w:szCs w:val="28"/>
        </w:rPr>
        <w:t>вигляді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субвенції</w:t>
      </w:r>
      <w:proofErr w:type="spellEnd"/>
      <w:r w:rsidRPr="00251A3D">
        <w:rPr>
          <w:sz w:val="28"/>
          <w:szCs w:val="28"/>
        </w:rPr>
        <w:t xml:space="preserve"> з державного бюджету </w:t>
      </w:r>
      <w:proofErr w:type="spellStart"/>
      <w:r w:rsidRPr="00251A3D">
        <w:rPr>
          <w:sz w:val="28"/>
          <w:szCs w:val="28"/>
        </w:rPr>
        <w:t>місцевим</w:t>
      </w:r>
      <w:proofErr w:type="spellEnd"/>
      <w:r w:rsidRPr="00251A3D">
        <w:rPr>
          <w:sz w:val="28"/>
          <w:szCs w:val="28"/>
        </w:rPr>
        <w:t xml:space="preserve"> бюджетам не </w:t>
      </w:r>
      <w:proofErr w:type="spellStart"/>
      <w:r w:rsidRPr="00251A3D">
        <w:rPr>
          <w:sz w:val="28"/>
          <w:szCs w:val="28"/>
        </w:rPr>
        <w:t>передбачені</w:t>
      </w:r>
      <w:proofErr w:type="spellEnd"/>
      <w:r w:rsidRPr="00251A3D">
        <w:rPr>
          <w:sz w:val="28"/>
          <w:szCs w:val="28"/>
        </w:rPr>
        <w:t xml:space="preserve">. </w:t>
      </w:r>
    </w:p>
    <w:p w:rsidR="00D5538E" w:rsidRPr="00251A3D" w:rsidRDefault="00D5538E" w:rsidP="00D5538E">
      <w:pPr>
        <w:ind w:firstLine="708"/>
        <w:jc w:val="both"/>
        <w:rPr>
          <w:sz w:val="28"/>
          <w:szCs w:val="28"/>
        </w:rPr>
      </w:pPr>
      <w:proofErr w:type="spellStart"/>
      <w:r w:rsidRPr="00251A3D">
        <w:rPr>
          <w:sz w:val="28"/>
          <w:szCs w:val="28"/>
        </w:rPr>
        <w:lastRenderedPageBreak/>
        <w:t>Стаття</w:t>
      </w:r>
      <w:proofErr w:type="spellEnd"/>
      <w:r w:rsidRPr="00251A3D">
        <w:rPr>
          <w:sz w:val="28"/>
          <w:szCs w:val="28"/>
        </w:rPr>
        <w:t xml:space="preserve"> 91 Бюджетного кодексу </w:t>
      </w:r>
      <w:proofErr w:type="spellStart"/>
      <w:r w:rsidRPr="00251A3D">
        <w:rPr>
          <w:sz w:val="28"/>
          <w:szCs w:val="28"/>
        </w:rPr>
        <w:t>України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передбачає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видатки</w:t>
      </w:r>
      <w:proofErr w:type="spellEnd"/>
      <w:r w:rsidRPr="00251A3D">
        <w:rPr>
          <w:sz w:val="28"/>
          <w:szCs w:val="28"/>
        </w:rPr>
        <w:t xml:space="preserve"> з </w:t>
      </w:r>
      <w:proofErr w:type="spellStart"/>
      <w:r w:rsidRPr="00251A3D">
        <w:rPr>
          <w:sz w:val="28"/>
          <w:szCs w:val="28"/>
        </w:rPr>
        <w:t>місцевого</w:t>
      </w:r>
      <w:proofErr w:type="spellEnd"/>
      <w:r w:rsidRPr="00251A3D">
        <w:rPr>
          <w:sz w:val="28"/>
          <w:szCs w:val="28"/>
        </w:rPr>
        <w:t xml:space="preserve"> бюджету на </w:t>
      </w:r>
      <w:proofErr w:type="spellStart"/>
      <w:r w:rsidRPr="00251A3D">
        <w:rPr>
          <w:sz w:val="28"/>
          <w:szCs w:val="28"/>
        </w:rPr>
        <w:t>місцеві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програми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соціального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захисту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окремих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категорій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населення</w:t>
      </w:r>
      <w:proofErr w:type="spellEnd"/>
      <w:r w:rsidRPr="00251A3D">
        <w:rPr>
          <w:sz w:val="28"/>
          <w:szCs w:val="28"/>
        </w:rPr>
        <w:t xml:space="preserve"> та </w:t>
      </w:r>
      <w:proofErr w:type="spellStart"/>
      <w:r w:rsidRPr="00251A3D">
        <w:rPr>
          <w:sz w:val="28"/>
          <w:szCs w:val="28"/>
        </w:rPr>
        <w:t>компенсаційні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виплати</w:t>
      </w:r>
      <w:proofErr w:type="spellEnd"/>
      <w:r w:rsidRPr="00251A3D">
        <w:rPr>
          <w:sz w:val="28"/>
          <w:szCs w:val="28"/>
        </w:rPr>
        <w:t xml:space="preserve"> за </w:t>
      </w:r>
      <w:proofErr w:type="spellStart"/>
      <w:r w:rsidRPr="00251A3D">
        <w:rPr>
          <w:sz w:val="28"/>
          <w:szCs w:val="28"/>
        </w:rPr>
        <w:t>пільговий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проїзд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окремих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категорій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громадян</w:t>
      </w:r>
      <w:proofErr w:type="spellEnd"/>
      <w:r w:rsidRPr="00251A3D">
        <w:rPr>
          <w:sz w:val="28"/>
          <w:szCs w:val="28"/>
        </w:rPr>
        <w:t>.</w:t>
      </w:r>
    </w:p>
    <w:p w:rsidR="00D5538E" w:rsidRPr="007E5355" w:rsidRDefault="00D5538E" w:rsidP="00D5538E">
      <w:pPr>
        <w:jc w:val="both"/>
        <w:rPr>
          <w:lang w:val="uk-UA"/>
        </w:rPr>
      </w:pPr>
    </w:p>
    <w:p w:rsidR="00D5538E" w:rsidRDefault="00D5538E" w:rsidP="00D5538E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251A3D">
        <w:rPr>
          <w:sz w:val="28"/>
          <w:szCs w:val="28"/>
        </w:rPr>
        <w:t xml:space="preserve">Мета </w:t>
      </w:r>
      <w:proofErr w:type="spellStart"/>
      <w:r w:rsidRPr="00251A3D">
        <w:rPr>
          <w:sz w:val="28"/>
          <w:szCs w:val="28"/>
        </w:rPr>
        <w:t>Програми</w:t>
      </w:r>
      <w:proofErr w:type="spellEnd"/>
    </w:p>
    <w:p w:rsidR="00D5538E" w:rsidRPr="007E5355" w:rsidRDefault="00D5538E" w:rsidP="00D5538E">
      <w:pPr>
        <w:ind w:left="360"/>
        <w:jc w:val="center"/>
        <w:rPr>
          <w:sz w:val="16"/>
          <w:szCs w:val="16"/>
          <w:lang w:val="uk-UA"/>
        </w:rPr>
      </w:pPr>
    </w:p>
    <w:p w:rsidR="00D5538E" w:rsidRPr="00251A3D" w:rsidRDefault="00D5538E" w:rsidP="00D5538E">
      <w:pPr>
        <w:ind w:firstLine="360"/>
        <w:jc w:val="both"/>
        <w:rPr>
          <w:sz w:val="28"/>
          <w:szCs w:val="28"/>
        </w:rPr>
      </w:pPr>
      <w:r w:rsidRPr="00251A3D">
        <w:rPr>
          <w:sz w:val="28"/>
          <w:szCs w:val="28"/>
        </w:rPr>
        <w:t xml:space="preserve">Метою </w:t>
      </w:r>
      <w:proofErr w:type="spellStart"/>
      <w:r w:rsidRPr="00251A3D">
        <w:rPr>
          <w:sz w:val="28"/>
          <w:szCs w:val="28"/>
        </w:rPr>
        <w:t>Програми</w:t>
      </w:r>
      <w:proofErr w:type="spellEnd"/>
      <w:r w:rsidRPr="00251A3D">
        <w:rPr>
          <w:sz w:val="28"/>
          <w:szCs w:val="28"/>
        </w:rPr>
        <w:t xml:space="preserve"> є </w:t>
      </w:r>
      <w:proofErr w:type="spellStart"/>
      <w:r w:rsidRPr="00251A3D">
        <w:rPr>
          <w:sz w:val="28"/>
          <w:szCs w:val="28"/>
        </w:rPr>
        <w:t>забезпечення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реалізації</w:t>
      </w:r>
      <w:proofErr w:type="spellEnd"/>
      <w:r w:rsidRPr="00251A3D">
        <w:rPr>
          <w:sz w:val="28"/>
          <w:szCs w:val="28"/>
        </w:rPr>
        <w:t xml:space="preserve"> прав </w:t>
      </w:r>
      <w:proofErr w:type="spellStart"/>
      <w:r w:rsidRPr="00251A3D">
        <w:rPr>
          <w:sz w:val="28"/>
          <w:szCs w:val="28"/>
        </w:rPr>
        <w:t>окремих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категорій</w:t>
      </w:r>
      <w:proofErr w:type="spellEnd"/>
      <w:r w:rsidRPr="00251A3D">
        <w:rPr>
          <w:sz w:val="28"/>
          <w:szCs w:val="28"/>
        </w:rPr>
        <w:t xml:space="preserve">  </w:t>
      </w:r>
      <w:proofErr w:type="spellStart"/>
      <w:r w:rsidRPr="00251A3D">
        <w:rPr>
          <w:sz w:val="28"/>
          <w:szCs w:val="28"/>
        </w:rPr>
        <w:t>громадян</w:t>
      </w:r>
      <w:proofErr w:type="spellEnd"/>
      <w:r w:rsidRPr="00251A3D">
        <w:rPr>
          <w:sz w:val="28"/>
          <w:szCs w:val="28"/>
        </w:rPr>
        <w:t xml:space="preserve"> на </w:t>
      </w:r>
      <w:proofErr w:type="spellStart"/>
      <w:r w:rsidRPr="00251A3D">
        <w:rPr>
          <w:sz w:val="28"/>
          <w:szCs w:val="28"/>
        </w:rPr>
        <w:t>пільговий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проїзд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автомобільним</w:t>
      </w:r>
      <w:proofErr w:type="spellEnd"/>
      <w:r w:rsidRPr="00251A3D">
        <w:rPr>
          <w:sz w:val="28"/>
          <w:szCs w:val="28"/>
        </w:rPr>
        <w:t xml:space="preserve"> транспортом на </w:t>
      </w:r>
      <w:proofErr w:type="spellStart"/>
      <w:r w:rsidRPr="00251A3D">
        <w:rPr>
          <w:sz w:val="28"/>
          <w:szCs w:val="28"/>
        </w:rPr>
        <w:t>приміських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автобусних</w:t>
      </w:r>
      <w:proofErr w:type="spellEnd"/>
      <w:r w:rsidRPr="00251A3D">
        <w:rPr>
          <w:sz w:val="28"/>
          <w:szCs w:val="28"/>
        </w:rPr>
        <w:t xml:space="preserve"> маршрутах </w:t>
      </w:r>
      <w:proofErr w:type="spellStart"/>
      <w:r w:rsidRPr="00251A3D">
        <w:rPr>
          <w:sz w:val="28"/>
          <w:szCs w:val="28"/>
        </w:rPr>
        <w:t>загального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користування</w:t>
      </w:r>
      <w:proofErr w:type="spellEnd"/>
      <w:r w:rsidRPr="00251A3D">
        <w:rPr>
          <w:sz w:val="28"/>
          <w:szCs w:val="28"/>
        </w:rPr>
        <w:t xml:space="preserve"> та </w:t>
      </w:r>
      <w:proofErr w:type="spellStart"/>
      <w:r w:rsidRPr="00251A3D">
        <w:rPr>
          <w:sz w:val="28"/>
          <w:szCs w:val="28"/>
        </w:rPr>
        <w:t>відшкодування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компенсації</w:t>
      </w:r>
      <w:proofErr w:type="spellEnd"/>
      <w:r w:rsidRPr="00251A3D">
        <w:rPr>
          <w:sz w:val="28"/>
          <w:szCs w:val="28"/>
        </w:rPr>
        <w:t xml:space="preserve">  за </w:t>
      </w:r>
      <w:proofErr w:type="spellStart"/>
      <w:r w:rsidRPr="00251A3D">
        <w:rPr>
          <w:sz w:val="28"/>
          <w:szCs w:val="28"/>
        </w:rPr>
        <w:t>перевезення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окремих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пільгових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категорій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громадян</w:t>
      </w:r>
      <w:proofErr w:type="spellEnd"/>
      <w:r w:rsidRPr="00251A3D">
        <w:rPr>
          <w:sz w:val="28"/>
          <w:szCs w:val="28"/>
        </w:rPr>
        <w:t xml:space="preserve"> в </w:t>
      </w:r>
      <w:proofErr w:type="spellStart"/>
      <w:r w:rsidRPr="00251A3D">
        <w:rPr>
          <w:sz w:val="28"/>
          <w:szCs w:val="28"/>
        </w:rPr>
        <w:t>Ніжинському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районі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перевізникам</w:t>
      </w:r>
      <w:proofErr w:type="spellEnd"/>
      <w:r w:rsidRPr="00251A3D">
        <w:rPr>
          <w:sz w:val="28"/>
          <w:szCs w:val="28"/>
        </w:rPr>
        <w:t xml:space="preserve">, </w:t>
      </w:r>
      <w:proofErr w:type="spellStart"/>
      <w:r w:rsidRPr="00251A3D">
        <w:rPr>
          <w:sz w:val="28"/>
          <w:szCs w:val="28"/>
        </w:rPr>
        <w:t>які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здійснюють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перевезення</w:t>
      </w:r>
      <w:proofErr w:type="spellEnd"/>
      <w:r w:rsidRPr="00251A3D">
        <w:rPr>
          <w:sz w:val="28"/>
          <w:szCs w:val="28"/>
        </w:rPr>
        <w:t xml:space="preserve"> на </w:t>
      </w:r>
      <w:proofErr w:type="spellStart"/>
      <w:r w:rsidRPr="00251A3D">
        <w:rPr>
          <w:sz w:val="28"/>
          <w:szCs w:val="28"/>
        </w:rPr>
        <w:t>приміських</w:t>
      </w:r>
      <w:proofErr w:type="spellEnd"/>
      <w:r w:rsidRPr="00251A3D">
        <w:rPr>
          <w:sz w:val="28"/>
          <w:szCs w:val="28"/>
        </w:rPr>
        <w:t xml:space="preserve"> маршрутах </w:t>
      </w:r>
      <w:proofErr w:type="spellStart"/>
      <w:r w:rsidRPr="00251A3D">
        <w:rPr>
          <w:sz w:val="28"/>
          <w:szCs w:val="28"/>
        </w:rPr>
        <w:t>автомобільним</w:t>
      </w:r>
      <w:proofErr w:type="spellEnd"/>
      <w:r w:rsidRPr="00251A3D">
        <w:rPr>
          <w:sz w:val="28"/>
          <w:szCs w:val="28"/>
        </w:rPr>
        <w:t xml:space="preserve"> транспортом </w:t>
      </w:r>
      <w:proofErr w:type="spellStart"/>
      <w:r w:rsidRPr="00251A3D">
        <w:rPr>
          <w:sz w:val="28"/>
          <w:szCs w:val="28"/>
        </w:rPr>
        <w:t>загального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користування</w:t>
      </w:r>
      <w:proofErr w:type="spellEnd"/>
      <w:r w:rsidRPr="00251A3D">
        <w:rPr>
          <w:sz w:val="28"/>
          <w:szCs w:val="28"/>
        </w:rPr>
        <w:t xml:space="preserve"> за </w:t>
      </w:r>
      <w:proofErr w:type="spellStart"/>
      <w:r w:rsidRPr="00251A3D">
        <w:rPr>
          <w:sz w:val="28"/>
          <w:szCs w:val="28"/>
        </w:rPr>
        <w:t>рахунок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коштів</w:t>
      </w:r>
      <w:proofErr w:type="spellEnd"/>
      <w:r w:rsidRPr="00251A3D">
        <w:rPr>
          <w:sz w:val="28"/>
          <w:szCs w:val="28"/>
        </w:rPr>
        <w:t xml:space="preserve"> районного бюджету</w:t>
      </w:r>
      <w:r>
        <w:rPr>
          <w:sz w:val="28"/>
          <w:szCs w:val="28"/>
          <w:lang w:val="uk-UA"/>
        </w:rPr>
        <w:t>, бюджетів сільських рад та інших джерел, не заборонених законодавством</w:t>
      </w:r>
      <w:r w:rsidRPr="00251A3D">
        <w:rPr>
          <w:sz w:val="28"/>
          <w:szCs w:val="28"/>
        </w:rPr>
        <w:t>.</w:t>
      </w:r>
    </w:p>
    <w:p w:rsidR="00D5538E" w:rsidRPr="007E5355" w:rsidRDefault="00D5538E" w:rsidP="00D5538E">
      <w:pPr>
        <w:jc w:val="both"/>
      </w:pPr>
      <w:r w:rsidRPr="00251A3D">
        <w:rPr>
          <w:sz w:val="28"/>
          <w:szCs w:val="28"/>
        </w:rPr>
        <w:tab/>
      </w:r>
    </w:p>
    <w:p w:rsidR="00D5538E" w:rsidRPr="00251A3D" w:rsidRDefault="00D5538E" w:rsidP="00D5538E">
      <w:pPr>
        <w:jc w:val="center"/>
        <w:rPr>
          <w:sz w:val="28"/>
          <w:szCs w:val="28"/>
        </w:rPr>
      </w:pPr>
      <w:r w:rsidRPr="00251A3D">
        <w:rPr>
          <w:sz w:val="28"/>
          <w:szCs w:val="28"/>
        </w:rPr>
        <w:t xml:space="preserve">4. </w:t>
      </w:r>
      <w:proofErr w:type="spellStart"/>
      <w:r w:rsidRPr="00251A3D">
        <w:rPr>
          <w:sz w:val="28"/>
          <w:szCs w:val="28"/>
        </w:rPr>
        <w:t>Основні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завдання</w:t>
      </w:r>
      <w:proofErr w:type="spellEnd"/>
      <w:r w:rsidRPr="00251A3D">
        <w:rPr>
          <w:sz w:val="28"/>
          <w:szCs w:val="28"/>
        </w:rPr>
        <w:t xml:space="preserve"> та заходи </w:t>
      </w:r>
      <w:proofErr w:type="spellStart"/>
      <w:r w:rsidRPr="00251A3D">
        <w:rPr>
          <w:sz w:val="28"/>
          <w:szCs w:val="28"/>
        </w:rPr>
        <w:t>щодо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реалізації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Програми</w:t>
      </w:r>
      <w:proofErr w:type="spellEnd"/>
    </w:p>
    <w:p w:rsidR="00D5538E" w:rsidRPr="007E5355" w:rsidRDefault="00D5538E" w:rsidP="00D5538E">
      <w:pPr>
        <w:jc w:val="both"/>
        <w:rPr>
          <w:sz w:val="16"/>
          <w:szCs w:val="16"/>
        </w:rPr>
      </w:pPr>
    </w:p>
    <w:p w:rsidR="00D5538E" w:rsidRPr="00E94CCA" w:rsidRDefault="00D5538E" w:rsidP="00D5538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51A3D">
        <w:rPr>
          <w:sz w:val="28"/>
          <w:szCs w:val="28"/>
        </w:rPr>
        <w:t xml:space="preserve">. </w:t>
      </w:r>
      <w:proofErr w:type="spellStart"/>
      <w:r w:rsidRPr="00251A3D">
        <w:rPr>
          <w:sz w:val="28"/>
          <w:szCs w:val="28"/>
        </w:rPr>
        <w:t>Основними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завданнями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Програми</w:t>
      </w:r>
      <w:proofErr w:type="spellEnd"/>
      <w:r w:rsidRPr="00251A3D">
        <w:rPr>
          <w:sz w:val="28"/>
          <w:szCs w:val="28"/>
        </w:rPr>
        <w:t xml:space="preserve"> є </w:t>
      </w:r>
      <w:proofErr w:type="spellStart"/>
      <w:r w:rsidRPr="00251A3D">
        <w:rPr>
          <w:sz w:val="28"/>
          <w:szCs w:val="28"/>
        </w:rPr>
        <w:t>надання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додаткових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соціальних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гарантій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окремим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категоріям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>, а саме:</w:t>
      </w:r>
      <w:r>
        <w:rPr>
          <w:sz w:val="28"/>
          <w:szCs w:val="28"/>
        </w:rPr>
        <w:t xml:space="preserve"> </w:t>
      </w:r>
      <w:r w:rsidRPr="00E94CCA">
        <w:rPr>
          <w:b/>
          <w:sz w:val="28"/>
          <w:szCs w:val="28"/>
          <w:lang w:val="uk-UA"/>
        </w:rPr>
        <w:t>інвалідам війни, учасникам бойових дій, учасникам ліквідації наслідків аварії на ЧАЕС 1 та 2 категорії, інвалідам всіх категорій 1 групи, членам сімей загиблих учасників антитерористичної операції, дітям з багатодітних сімей</w:t>
      </w:r>
      <w:r w:rsidRPr="00E94CCA">
        <w:rPr>
          <w:b/>
          <w:sz w:val="28"/>
          <w:szCs w:val="28"/>
        </w:rPr>
        <w:t>.</w:t>
      </w:r>
      <w:r w:rsidRPr="00E94CCA">
        <w:rPr>
          <w:b/>
          <w:sz w:val="28"/>
          <w:szCs w:val="28"/>
          <w:lang w:val="uk-UA"/>
        </w:rPr>
        <w:t xml:space="preserve"> </w:t>
      </w:r>
    </w:p>
    <w:p w:rsidR="00D5538E" w:rsidRPr="00AD0D17" w:rsidRDefault="00D5538E" w:rsidP="00D553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D0D17">
        <w:rPr>
          <w:sz w:val="28"/>
          <w:szCs w:val="28"/>
          <w:lang w:val="uk-UA"/>
        </w:rPr>
        <w:t xml:space="preserve"> Управління соціального захисту населення райдержадміністрації</w:t>
      </w:r>
      <w:r>
        <w:rPr>
          <w:sz w:val="28"/>
          <w:szCs w:val="28"/>
          <w:lang w:val="uk-UA"/>
        </w:rPr>
        <w:t xml:space="preserve"> веде персоніфікований облік пільгових категорій громадян, перевіряє право  на пільговий проїзд, приймає та перевіряє розрахунки витрат за пільгові перевезення, забезпечує своєчасне перерахування коштів за надані пільги.</w:t>
      </w:r>
    </w:p>
    <w:p w:rsidR="00D5538E" w:rsidRPr="00AD0D17" w:rsidRDefault="00D5538E" w:rsidP="00D5538E">
      <w:pPr>
        <w:jc w:val="both"/>
        <w:rPr>
          <w:sz w:val="16"/>
          <w:szCs w:val="16"/>
          <w:lang w:val="uk-UA"/>
        </w:rPr>
      </w:pPr>
      <w:r w:rsidRPr="00AD0D17">
        <w:rPr>
          <w:sz w:val="16"/>
          <w:szCs w:val="16"/>
          <w:lang w:val="uk-UA"/>
        </w:rPr>
        <w:t xml:space="preserve"> </w:t>
      </w:r>
    </w:p>
    <w:p w:rsidR="00D5538E" w:rsidRPr="00907618" w:rsidRDefault="00D5538E" w:rsidP="00D553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D0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Приватні підприємці, надавачі послуг з перевезення пасажирів, здійснюють пільгові перевезення визначених цією програмою категорій громадян та щомісяця подають розрахунки на </w:t>
      </w:r>
      <w:r w:rsidRPr="00AD0D17">
        <w:rPr>
          <w:sz w:val="28"/>
          <w:szCs w:val="28"/>
          <w:lang w:val="uk-UA"/>
        </w:rPr>
        <w:t>відшкодування витрат за пільгове перевезення</w:t>
      </w:r>
      <w:r>
        <w:rPr>
          <w:sz w:val="28"/>
          <w:szCs w:val="28"/>
          <w:lang w:val="uk-UA"/>
        </w:rPr>
        <w:t xml:space="preserve"> до управління соціального захисту населення.</w:t>
      </w:r>
      <w:r w:rsidRPr="00AD0D17">
        <w:rPr>
          <w:sz w:val="28"/>
          <w:szCs w:val="28"/>
          <w:lang w:val="uk-UA"/>
        </w:rPr>
        <w:t xml:space="preserve"> </w:t>
      </w:r>
    </w:p>
    <w:p w:rsidR="00D5538E" w:rsidRPr="00907618" w:rsidRDefault="00D5538E" w:rsidP="00D5538E">
      <w:pPr>
        <w:jc w:val="both"/>
        <w:rPr>
          <w:sz w:val="16"/>
          <w:szCs w:val="16"/>
          <w:lang w:val="uk-UA"/>
        </w:rPr>
      </w:pPr>
    </w:p>
    <w:p w:rsidR="00D5538E" w:rsidRPr="003B422D" w:rsidRDefault="00D5538E" w:rsidP="00D5538E">
      <w:pPr>
        <w:ind w:firstLine="708"/>
        <w:rPr>
          <w:sz w:val="28"/>
          <w:lang w:val="uk-UA"/>
        </w:rPr>
      </w:pPr>
      <w:r>
        <w:rPr>
          <w:sz w:val="28"/>
          <w:szCs w:val="28"/>
          <w:lang w:val="uk-UA"/>
        </w:rPr>
        <w:t>4.</w:t>
      </w:r>
      <w:r w:rsidRPr="00907618">
        <w:rPr>
          <w:sz w:val="28"/>
          <w:szCs w:val="28"/>
          <w:lang w:val="uk-UA"/>
        </w:rPr>
        <w:t xml:space="preserve"> Фінансове управління райдержадміністрації</w:t>
      </w:r>
      <w:r>
        <w:rPr>
          <w:sz w:val="28"/>
          <w:szCs w:val="28"/>
          <w:lang w:val="uk-UA"/>
        </w:rPr>
        <w:t xml:space="preserve"> здійснює</w:t>
      </w:r>
      <w:r w:rsidRPr="00907618">
        <w:rPr>
          <w:sz w:val="28"/>
          <w:szCs w:val="28"/>
          <w:lang w:val="uk-UA"/>
        </w:rPr>
        <w:t xml:space="preserve"> фінансування наданих пільг в межах затверджених призначень рішенням районної ради про районний бюджет на відповідний рік</w:t>
      </w:r>
      <w:r>
        <w:rPr>
          <w:sz w:val="28"/>
          <w:szCs w:val="28"/>
          <w:lang w:val="uk-UA"/>
        </w:rPr>
        <w:t>, відповідно до Порядку</w:t>
      </w:r>
      <w:r w:rsidRPr="003B422D">
        <w:rPr>
          <w:b/>
          <w:sz w:val="28"/>
          <w:lang w:val="uk-UA"/>
        </w:rPr>
        <w:t xml:space="preserve">  </w:t>
      </w:r>
      <w:r w:rsidRPr="003B422D">
        <w:rPr>
          <w:sz w:val="28"/>
          <w:lang w:val="uk-UA"/>
        </w:rPr>
        <w:t>перевезення  приватним  автотранспортом пільгових категорій  громадян  та  відшкодування витрат  за  надані  послуги</w:t>
      </w:r>
      <w:r>
        <w:rPr>
          <w:sz w:val="28"/>
          <w:lang w:val="uk-UA"/>
        </w:rPr>
        <w:t>.</w:t>
      </w:r>
      <w:r w:rsidRPr="003B422D">
        <w:rPr>
          <w:b/>
          <w:sz w:val="28"/>
          <w:lang w:val="uk-UA"/>
        </w:rPr>
        <w:t xml:space="preserve">                       </w:t>
      </w:r>
    </w:p>
    <w:p w:rsidR="00D5538E" w:rsidRDefault="00D5538E" w:rsidP="00D5538E">
      <w:pPr>
        <w:jc w:val="both"/>
        <w:rPr>
          <w:lang w:val="uk-UA"/>
        </w:rPr>
      </w:pPr>
    </w:p>
    <w:p w:rsidR="00D5538E" w:rsidRPr="00907618" w:rsidRDefault="00D5538E" w:rsidP="00D5538E">
      <w:pPr>
        <w:jc w:val="both"/>
        <w:rPr>
          <w:lang w:val="uk-UA"/>
        </w:rPr>
      </w:pPr>
    </w:p>
    <w:p w:rsidR="00D5538E" w:rsidRPr="003B422D" w:rsidRDefault="00D5538E" w:rsidP="00D5538E">
      <w:pPr>
        <w:jc w:val="center"/>
        <w:rPr>
          <w:sz w:val="28"/>
          <w:szCs w:val="28"/>
          <w:lang w:val="uk-UA"/>
        </w:rPr>
      </w:pPr>
      <w:r w:rsidRPr="003B422D">
        <w:rPr>
          <w:sz w:val="28"/>
          <w:szCs w:val="28"/>
          <w:lang w:val="uk-UA"/>
        </w:rPr>
        <w:t>5. Основні напрямки реалізації Програми</w:t>
      </w:r>
    </w:p>
    <w:p w:rsidR="00D5538E" w:rsidRPr="003B422D" w:rsidRDefault="00D5538E" w:rsidP="00D5538E">
      <w:pPr>
        <w:jc w:val="both"/>
        <w:rPr>
          <w:sz w:val="16"/>
          <w:szCs w:val="16"/>
          <w:lang w:val="uk-UA"/>
        </w:rPr>
      </w:pPr>
    </w:p>
    <w:p w:rsidR="00D5538E" w:rsidRPr="003B422D" w:rsidRDefault="00D5538E" w:rsidP="00D5538E">
      <w:pPr>
        <w:ind w:firstLine="708"/>
        <w:jc w:val="both"/>
        <w:rPr>
          <w:sz w:val="28"/>
          <w:lang w:val="uk-UA"/>
        </w:rPr>
      </w:pPr>
      <w:r w:rsidRPr="000C1487">
        <w:rPr>
          <w:sz w:val="28"/>
          <w:szCs w:val="28"/>
          <w:lang w:val="uk-UA"/>
        </w:rPr>
        <w:t>Безкоштовне перевезення окремих категорій громадян, що мають право на безоплатний проїзд згідно з чинним законодавством, здійснюється пасажирським транспортом загального користування на умовах, визначених Договором між перевізником та Чернігівською обл</w:t>
      </w:r>
      <w:r>
        <w:rPr>
          <w:sz w:val="28"/>
          <w:szCs w:val="28"/>
          <w:lang w:val="uk-UA"/>
        </w:rPr>
        <w:t xml:space="preserve">асною </w:t>
      </w:r>
      <w:r w:rsidRPr="000C1487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авною </w:t>
      </w:r>
      <w:r w:rsidRPr="000C1487">
        <w:rPr>
          <w:sz w:val="28"/>
          <w:szCs w:val="28"/>
          <w:lang w:val="uk-UA"/>
        </w:rPr>
        <w:t xml:space="preserve">адміністрацією або Ніжинською районною державною адміністрацією, а відшкодування витрат за пільгове перевезення здійснюється на підставі </w:t>
      </w:r>
      <w:r>
        <w:rPr>
          <w:sz w:val="28"/>
          <w:szCs w:val="28"/>
          <w:lang w:val="uk-UA"/>
        </w:rPr>
        <w:lastRenderedPageBreak/>
        <w:t>розрахунків по формі № 2 – пільга, затвердженої наказом Міністерства праці та соціальної політики України 04.10.2007 року № 535 та відповідно до Порядку</w:t>
      </w:r>
      <w:r w:rsidRPr="003B422D">
        <w:rPr>
          <w:sz w:val="28"/>
          <w:lang w:val="uk-UA"/>
        </w:rPr>
        <w:t xml:space="preserve"> перевезення  приватним  автотранспортом пільгових категорій  громадян  та  відшкодування витрат  за  надані  послуги</w:t>
      </w:r>
      <w:r>
        <w:rPr>
          <w:sz w:val="28"/>
          <w:lang w:val="uk-UA"/>
        </w:rPr>
        <w:t>.</w:t>
      </w:r>
      <w:r w:rsidRPr="003B422D">
        <w:rPr>
          <w:b/>
          <w:sz w:val="28"/>
          <w:lang w:val="uk-UA"/>
        </w:rPr>
        <w:t xml:space="preserve">                       </w:t>
      </w:r>
    </w:p>
    <w:p w:rsidR="00D5538E" w:rsidRPr="000C1487" w:rsidRDefault="00D5538E" w:rsidP="00D5538E">
      <w:pPr>
        <w:ind w:firstLine="708"/>
        <w:jc w:val="both"/>
        <w:rPr>
          <w:sz w:val="28"/>
          <w:szCs w:val="28"/>
          <w:lang w:val="uk-UA"/>
        </w:rPr>
      </w:pPr>
    </w:p>
    <w:p w:rsidR="00D5538E" w:rsidRPr="003B422D" w:rsidRDefault="00D5538E" w:rsidP="00D5538E">
      <w:pPr>
        <w:jc w:val="center"/>
        <w:rPr>
          <w:sz w:val="28"/>
          <w:szCs w:val="28"/>
          <w:lang w:val="uk-UA"/>
        </w:rPr>
      </w:pPr>
      <w:r w:rsidRPr="003B422D">
        <w:rPr>
          <w:sz w:val="28"/>
          <w:szCs w:val="28"/>
          <w:lang w:val="uk-UA"/>
        </w:rPr>
        <w:t>6. Фінансове забезпечення реалізації Програми</w:t>
      </w:r>
    </w:p>
    <w:p w:rsidR="00D5538E" w:rsidRPr="003B422D" w:rsidRDefault="00D5538E" w:rsidP="00D5538E">
      <w:pPr>
        <w:jc w:val="both"/>
        <w:rPr>
          <w:sz w:val="16"/>
          <w:szCs w:val="16"/>
          <w:lang w:val="uk-UA"/>
        </w:rPr>
      </w:pPr>
    </w:p>
    <w:p w:rsidR="00D5538E" w:rsidRPr="003B422D" w:rsidRDefault="00D5538E" w:rsidP="00D5538E">
      <w:pPr>
        <w:ind w:firstLine="708"/>
        <w:jc w:val="both"/>
        <w:rPr>
          <w:sz w:val="28"/>
          <w:szCs w:val="28"/>
          <w:lang w:val="uk-UA"/>
        </w:rPr>
      </w:pPr>
      <w:r w:rsidRPr="003B422D">
        <w:rPr>
          <w:sz w:val="28"/>
          <w:szCs w:val="28"/>
          <w:lang w:val="uk-UA"/>
        </w:rPr>
        <w:t>Фінансування Програми здійснюється за рахунок районного бюджету,</w:t>
      </w:r>
      <w:r>
        <w:rPr>
          <w:sz w:val="28"/>
          <w:szCs w:val="28"/>
          <w:lang w:val="uk-UA"/>
        </w:rPr>
        <w:t xml:space="preserve"> бюджетів сільських рад</w:t>
      </w:r>
      <w:r w:rsidRPr="003B422D">
        <w:rPr>
          <w:sz w:val="28"/>
          <w:szCs w:val="28"/>
          <w:lang w:val="uk-UA"/>
        </w:rPr>
        <w:t xml:space="preserve"> та інших джерел фінансування, не заборонених законодавством</w:t>
      </w:r>
      <w:r>
        <w:rPr>
          <w:sz w:val="28"/>
          <w:szCs w:val="28"/>
          <w:lang w:val="uk-UA"/>
        </w:rPr>
        <w:t>.</w:t>
      </w:r>
      <w:r w:rsidRPr="003B422D">
        <w:rPr>
          <w:sz w:val="28"/>
          <w:szCs w:val="28"/>
          <w:lang w:val="uk-UA"/>
        </w:rPr>
        <w:t xml:space="preserve"> </w:t>
      </w:r>
    </w:p>
    <w:p w:rsidR="00D5538E" w:rsidRPr="00251A3D" w:rsidRDefault="00D5538E" w:rsidP="00D5538E">
      <w:pPr>
        <w:ind w:firstLine="708"/>
        <w:jc w:val="both"/>
        <w:rPr>
          <w:sz w:val="28"/>
          <w:szCs w:val="28"/>
        </w:rPr>
      </w:pPr>
      <w:r w:rsidRPr="003B422D">
        <w:rPr>
          <w:sz w:val="28"/>
          <w:szCs w:val="28"/>
          <w:lang w:val="uk-UA"/>
        </w:rPr>
        <w:t xml:space="preserve">Обсяг фінансування Програми </w:t>
      </w:r>
      <w:proofErr w:type="spellStart"/>
      <w:r w:rsidRPr="003B422D">
        <w:rPr>
          <w:sz w:val="28"/>
          <w:szCs w:val="28"/>
          <w:lang w:val="uk-UA"/>
        </w:rPr>
        <w:t>уточнюється</w:t>
      </w:r>
      <w:proofErr w:type="spellEnd"/>
      <w:r w:rsidRPr="003B422D">
        <w:rPr>
          <w:sz w:val="28"/>
          <w:szCs w:val="28"/>
          <w:lang w:val="uk-UA"/>
        </w:rPr>
        <w:t xml:space="preserve"> щороку під час підготовки проекту районного бюджету на відповідний рік у межах </w:t>
      </w:r>
      <w:proofErr w:type="spellStart"/>
      <w:r w:rsidRPr="003B422D">
        <w:rPr>
          <w:sz w:val="28"/>
          <w:szCs w:val="28"/>
          <w:lang w:val="uk-UA"/>
        </w:rPr>
        <w:t>видаткі</w:t>
      </w:r>
      <w:proofErr w:type="spellEnd"/>
      <w:r w:rsidRPr="00251A3D">
        <w:rPr>
          <w:sz w:val="28"/>
          <w:szCs w:val="28"/>
        </w:rPr>
        <w:t xml:space="preserve">в, </w:t>
      </w:r>
      <w:proofErr w:type="spellStart"/>
      <w:r w:rsidRPr="00251A3D">
        <w:rPr>
          <w:sz w:val="28"/>
          <w:szCs w:val="28"/>
        </w:rPr>
        <w:t>передбачених</w:t>
      </w:r>
      <w:proofErr w:type="spellEnd"/>
      <w:r w:rsidRPr="00251A3D">
        <w:rPr>
          <w:sz w:val="28"/>
          <w:szCs w:val="28"/>
        </w:rPr>
        <w:t xml:space="preserve"> головному </w:t>
      </w:r>
      <w:proofErr w:type="spellStart"/>
      <w:r w:rsidRPr="00251A3D">
        <w:rPr>
          <w:sz w:val="28"/>
          <w:szCs w:val="28"/>
        </w:rPr>
        <w:t>розпоряднику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бюджетних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коштів</w:t>
      </w:r>
      <w:proofErr w:type="spellEnd"/>
      <w:r w:rsidRPr="00251A3D">
        <w:rPr>
          <w:sz w:val="28"/>
          <w:szCs w:val="28"/>
        </w:rPr>
        <w:t xml:space="preserve">, </w:t>
      </w:r>
      <w:proofErr w:type="spellStart"/>
      <w:r w:rsidRPr="00251A3D">
        <w:rPr>
          <w:sz w:val="28"/>
          <w:szCs w:val="28"/>
        </w:rPr>
        <w:t>відповідальному</w:t>
      </w:r>
      <w:proofErr w:type="spellEnd"/>
      <w:r w:rsidRPr="00251A3D">
        <w:rPr>
          <w:sz w:val="28"/>
          <w:szCs w:val="28"/>
        </w:rPr>
        <w:t xml:space="preserve"> за </w:t>
      </w:r>
      <w:proofErr w:type="spellStart"/>
      <w:r w:rsidRPr="00251A3D">
        <w:rPr>
          <w:sz w:val="28"/>
          <w:szCs w:val="28"/>
        </w:rPr>
        <w:t>виконання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завдань</w:t>
      </w:r>
      <w:proofErr w:type="spellEnd"/>
      <w:r w:rsidRPr="00251A3D">
        <w:rPr>
          <w:sz w:val="28"/>
          <w:szCs w:val="28"/>
        </w:rPr>
        <w:t xml:space="preserve"> і </w:t>
      </w:r>
      <w:proofErr w:type="spellStart"/>
      <w:r w:rsidRPr="00251A3D">
        <w:rPr>
          <w:sz w:val="28"/>
          <w:szCs w:val="28"/>
        </w:rPr>
        <w:t>заходів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Програми</w:t>
      </w:r>
      <w:proofErr w:type="spellEnd"/>
      <w:r w:rsidRPr="00251A3D">
        <w:rPr>
          <w:sz w:val="28"/>
          <w:szCs w:val="28"/>
        </w:rPr>
        <w:t>.</w:t>
      </w:r>
    </w:p>
    <w:p w:rsidR="00D5538E" w:rsidRPr="00251A3D" w:rsidRDefault="00D5538E" w:rsidP="00D5538E">
      <w:pPr>
        <w:ind w:firstLine="708"/>
        <w:jc w:val="both"/>
        <w:rPr>
          <w:sz w:val="28"/>
          <w:szCs w:val="28"/>
        </w:rPr>
      </w:pPr>
      <w:proofErr w:type="spellStart"/>
      <w:r w:rsidRPr="00251A3D">
        <w:rPr>
          <w:sz w:val="28"/>
          <w:szCs w:val="28"/>
        </w:rPr>
        <w:t>Управління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соціального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захисту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населення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райдержадміністрації</w:t>
      </w:r>
      <w:proofErr w:type="spellEnd"/>
      <w:r w:rsidRPr="00251A3D">
        <w:rPr>
          <w:sz w:val="28"/>
          <w:szCs w:val="28"/>
        </w:rPr>
        <w:t xml:space="preserve"> за </w:t>
      </w:r>
      <w:proofErr w:type="spellStart"/>
      <w:r w:rsidRPr="00251A3D">
        <w:rPr>
          <w:sz w:val="28"/>
          <w:szCs w:val="28"/>
        </w:rPr>
        <w:t>підсумками</w:t>
      </w:r>
      <w:proofErr w:type="spellEnd"/>
      <w:r w:rsidRPr="00251A3D">
        <w:rPr>
          <w:sz w:val="28"/>
          <w:szCs w:val="28"/>
        </w:rPr>
        <w:t xml:space="preserve"> року </w:t>
      </w:r>
      <w:proofErr w:type="spellStart"/>
      <w:r w:rsidRPr="00251A3D">
        <w:rPr>
          <w:sz w:val="28"/>
          <w:szCs w:val="28"/>
        </w:rPr>
        <w:t>подає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звіт</w:t>
      </w:r>
      <w:proofErr w:type="spellEnd"/>
      <w:r w:rsidRPr="00251A3D">
        <w:rPr>
          <w:sz w:val="28"/>
          <w:szCs w:val="28"/>
        </w:rPr>
        <w:t xml:space="preserve"> по </w:t>
      </w:r>
      <w:proofErr w:type="spellStart"/>
      <w:r w:rsidRPr="00251A3D">
        <w:rPr>
          <w:sz w:val="28"/>
          <w:szCs w:val="28"/>
        </w:rPr>
        <w:t>виконанню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Програми</w:t>
      </w:r>
      <w:proofErr w:type="spellEnd"/>
      <w:r w:rsidRPr="00251A3D">
        <w:rPr>
          <w:sz w:val="28"/>
          <w:szCs w:val="28"/>
        </w:rPr>
        <w:t xml:space="preserve"> та вносить </w:t>
      </w:r>
      <w:proofErr w:type="spellStart"/>
      <w:r w:rsidRPr="00251A3D">
        <w:rPr>
          <w:sz w:val="28"/>
          <w:szCs w:val="28"/>
        </w:rPr>
        <w:t>пропозиції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фінансовому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управлінню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райдержадміністрації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щодо</w:t>
      </w:r>
      <w:proofErr w:type="spellEnd"/>
      <w:r w:rsidRPr="00251A3D">
        <w:rPr>
          <w:sz w:val="28"/>
          <w:szCs w:val="28"/>
        </w:rPr>
        <w:t xml:space="preserve"> потреби в коштах на </w:t>
      </w:r>
      <w:proofErr w:type="spellStart"/>
      <w:r w:rsidRPr="00251A3D">
        <w:rPr>
          <w:sz w:val="28"/>
          <w:szCs w:val="28"/>
        </w:rPr>
        <w:t>наступний</w:t>
      </w:r>
      <w:proofErr w:type="spellEnd"/>
      <w:r w:rsidRPr="00251A3D">
        <w:rPr>
          <w:sz w:val="28"/>
          <w:szCs w:val="28"/>
        </w:rPr>
        <w:t xml:space="preserve"> </w:t>
      </w:r>
      <w:proofErr w:type="spellStart"/>
      <w:r w:rsidRPr="00251A3D">
        <w:rPr>
          <w:sz w:val="28"/>
          <w:szCs w:val="28"/>
        </w:rPr>
        <w:t>рік</w:t>
      </w:r>
      <w:proofErr w:type="spellEnd"/>
      <w:r w:rsidRPr="00251A3D">
        <w:rPr>
          <w:sz w:val="28"/>
          <w:szCs w:val="28"/>
        </w:rPr>
        <w:t>.</w:t>
      </w:r>
    </w:p>
    <w:p w:rsidR="00D5538E" w:rsidRDefault="00D5538E" w:rsidP="00D5538E">
      <w:pPr>
        <w:jc w:val="both"/>
        <w:rPr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управління </w:t>
      </w:r>
    </w:p>
    <w:p w:rsidR="00D5538E" w:rsidRDefault="00D5538E" w:rsidP="00D5538E">
      <w:pPr>
        <w:tabs>
          <w:tab w:val="left" w:pos="63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</w:t>
      </w:r>
      <w:r>
        <w:rPr>
          <w:sz w:val="28"/>
          <w:szCs w:val="28"/>
          <w:lang w:val="uk-UA"/>
        </w:rPr>
        <w:tab/>
        <w:t>Людмила ЗАНЬКО</w:t>
      </w: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ind w:left="7788"/>
        <w:jc w:val="both"/>
        <w:rPr>
          <w:b/>
          <w:bCs/>
          <w:i/>
          <w:iCs/>
          <w:sz w:val="28"/>
          <w:szCs w:val="28"/>
          <w:lang w:val="uk-UA"/>
        </w:rPr>
      </w:pPr>
    </w:p>
    <w:tbl>
      <w:tblPr>
        <w:tblW w:w="9868" w:type="dxa"/>
        <w:jc w:val="center"/>
        <w:tblLook w:val="0000" w:firstRow="0" w:lastRow="0" w:firstColumn="0" w:lastColumn="0" w:noHBand="0" w:noVBand="0"/>
      </w:tblPr>
      <w:tblGrid>
        <w:gridCol w:w="2352"/>
        <w:gridCol w:w="1856"/>
        <w:gridCol w:w="1415"/>
        <w:gridCol w:w="1267"/>
        <w:gridCol w:w="1266"/>
        <w:gridCol w:w="2329"/>
      </w:tblGrid>
      <w:tr w:rsidR="00D5538E" w:rsidTr="00AE57BD">
        <w:trPr>
          <w:trHeight w:val="255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Додаток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5538E" w:rsidTr="00AE57BD">
        <w:trPr>
          <w:trHeight w:val="255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5538E" w:rsidTr="00AE57BD">
        <w:trPr>
          <w:trHeight w:val="36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</w:rPr>
              <w:t>кість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</w:rPr>
              <w:t>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Pr="000B0C19" w:rsidRDefault="00D5538E" w:rsidP="00AE5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сума 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D5538E" w:rsidTr="00AE57BD">
        <w:trPr>
          <w:trHeight w:val="36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Pr="00936DA4" w:rsidRDefault="00D5538E" w:rsidP="00AE5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ільгов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квитків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Pr="00C04C7D" w:rsidRDefault="00D5538E" w:rsidP="00AE5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грн..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538E" w:rsidTr="00AE57BD">
        <w:trPr>
          <w:trHeight w:val="36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Pr="00936DA4" w:rsidRDefault="00D5538E" w:rsidP="00AE57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квитка (грн.)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</w:t>
            </w:r>
            <w:proofErr w:type="spellStart"/>
            <w:r>
              <w:rPr>
                <w:sz w:val="28"/>
                <w:szCs w:val="28"/>
              </w:rPr>
              <w:t>міс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1 </w:t>
            </w:r>
            <w:proofErr w:type="spellStart"/>
            <w:r>
              <w:rPr>
                <w:sz w:val="28"/>
                <w:szCs w:val="28"/>
              </w:rPr>
              <w:t>міс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12 </w:t>
            </w:r>
            <w:proofErr w:type="spellStart"/>
            <w:r>
              <w:rPr>
                <w:sz w:val="28"/>
                <w:szCs w:val="28"/>
              </w:rPr>
              <w:t>міс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5538E" w:rsidTr="00AE57BD">
        <w:trPr>
          <w:trHeight w:val="36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Інвалідів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війни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Pr="00DD17D0" w:rsidRDefault="00D5538E" w:rsidP="00AE57B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538E" w:rsidTr="00AE57BD">
        <w:trPr>
          <w:trHeight w:val="36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бой.дій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Pr="00DD17D0" w:rsidRDefault="00D5538E" w:rsidP="00AE57B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538E" w:rsidTr="00AE57BD">
        <w:trPr>
          <w:trHeight w:val="36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ЧАЕС 1 та 2 </w:t>
            </w:r>
            <w:proofErr w:type="spellStart"/>
            <w:r>
              <w:rPr>
                <w:sz w:val="28"/>
                <w:szCs w:val="28"/>
              </w:rPr>
              <w:t>катег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5538E" w:rsidRPr="00DD17D0" w:rsidRDefault="00D5538E" w:rsidP="00AE57B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538E" w:rsidTr="00AE57BD">
        <w:trPr>
          <w:trHeight w:val="36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багат.сімей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Pr="00DD17D0" w:rsidRDefault="00D5538E" w:rsidP="00AE57B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538E" w:rsidTr="00AE57BD">
        <w:trPr>
          <w:trHeight w:val="36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інваліди</w:t>
            </w:r>
            <w:proofErr w:type="spellEnd"/>
            <w:r>
              <w:rPr>
                <w:sz w:val="28"/>
                <w:szCs w:val="28"/>
              </w:rPr>
              <w:t xml:space="preserve"> з\з 1 гр.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Pr="00DD17D0" w:rsidRDefault="00D5538E" w:rsidP="00AE57B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538E" w:rsidTr="00AE57BD">
        <w:trPr>
          <w:trHeight w:val="36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Pr="000B0C19" w:rsidRDefault="00D5538E" w:rsidP="00AE5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Члени сімей загиблих учасників АТО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Pr="00E75AF0" w:rsidRDefault="00D5538E" w:rsidP="00AE57B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538E" w:rsidRPr="00BB1F0C" w:rsidTr="00AE57BD">
        <w:trPr>
          <w:trHeight w:val="36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всього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Pr="00D11BE6" w:rsidRDefault="00D5538E" w:rsidP="00AE57BD">
            <w:pPr>
              <w:jc w:val="right"/>
              <w:rPr>
                <w:sz w:val="28"/>
                <w:szCs w:val="28"/>
                <w:lang w:val="uk-UA"/>
              </w:rPr>
            </w:pPr>
            <w:r w:rsidRPr="00E75AF0">
              <w:rPr>
                <w:sz w:val="28"/>
                <w:szCs w:val="28"/>
              </w:rPr>
              <w:t>4</w:t>
            </w:r>
            <w:r w:rsidRPr="00A73494">
              <w:rPr>
                <w:sz w:val="28"/>
                <w:szCs w:val="28"/>
              </w:rPr>
              <w:t>9</w:t>
            </w:r>
            <w:r w:rsidRPr="00E75A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особи,</w:t>
            </w:r>
            <w:r w:rsidRPr="00DD1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не враховуючи громадян </w:t>
            </w:r>
            <w:proofErr w:type="spellStart"/>
            <w:r>
              <w:rPr>
                <w:sz w:val="28"/>
                <w:szCs w:val="28"/>
                <w:lang w:val="uk-UA"/>
              </w:rPr>
              <w:t>Вертіївської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Лосинівської</w:t>
            </w:r>
            <w:proofErr w:type="spellEnd"/>
            <w:r>
              <w:rPr>
                <w:sz w:val="28"/>
                <w:szCs w:val="28"/>
                <w:lang w:val="uk-UA"/>
              </w:rPr>
              <w:t>, ОТГ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Pr="00C04C7D" w:rsidRDefault="00D5538E" w:rsidP="00AE57B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Default="00D5538E" w:rsidP="00AE5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Pr="00A73494" w:rsidRDefault="00D5538E" w:rsidP="00AE57B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34538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8E" w:rsidRPr="00E75AF0" w:rsidRDefault="00D5538E" w:rsidP="00AE57BD">
            <w:pPr>
              <w:ind w:right="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414460,80</w:t>
            </w:r>
          </w:p>
        </w:tc>
      </w:tr>
    </w:tbl>
    <w:p w:rsidR="00D5538E" w:rsidRDefault="00D5538E" w:rsidP="00D5538E">
      <w:pPr>
        <w:jc w:val="both"/>
        <w:rPr>
          <w:b/>
          <w:i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178"/>
        <w:tblW w:w="11344" w:type="dxa"/>
        <w:tblLook w:val="0000" w:firstRow="0" w:lastRow="0" w:firstColumn="0" w:lastColumn="0" w:noHBand="0" w:noVBand="0"/>
      </w:tblPr>
      <w:tblGrid>
        <w:gridCol w:w="2280"/>
        <w:gridCol w:w="1169"/>
        <w:gridCol w:w="1169"/>
        <w:gridCol w:w="1600"/>
        <w:gridCol w:w="1286"/>
        <w:gridCol w:w="1160"/>
        <w:gridCol w:w="1340"/>
        <w:gridCol w:w="1340"/>
      </w:tblGrid>
      <w:tr w:rsidR="00D5538E" w:rsidRPr="00BB1F0C" w:rsidTr="00AE57BD">
        <w:trPr>
          <w:trHeight w:val="255"/>
        </w:trPr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D5538E" w:rsidRPr="00BB1F0C" w:rsidRDefault="00D5538E" w:rsidP="00AE57BD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D5538E" w:rsidRPr="00BB1F0C" w:rsidRDefault="00D5538E" w:rsidP="00AE57BD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D5538E" w:rsidRPr="00BB1F0C" w:rsidRDefault="00D5538E" w:rsidP="00AE57BD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D5538E" w:rsidRPr="00BB1F0C" w:rsidRDefault="00D5538E" w:rsidP="00AE57BD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D5538E" w:rsidRPr="00BB1F0C" w:rsidRDefault="00D5538E" w:rsidP="00AE57BD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D5538E" w:rsidRPr="00BB1F0C" w:rsidRDefault="00D5538E" w:rsidP="00AE57BD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D5538E" w:rsidRPr="00BB1F0C" w:rsidRDefault="00D5538E" w:rsidP="00AE57BD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D5538E" w:rsidRPr="00BB1F0C" w:rsidRDefault="00D5538E" w:rsidP="00AE57BD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</w:tbl>
    <w:p w:rsidR="00D5538E" w:rsidRDefault="00D5538E" w:rsidP="00D5538E">
      <w:pPr>
        <w:jc w:val="both"/>
        <w:rPr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Примітка: </w:t>
      </w:r>
      <w:r w:rsidRPr="00821B86">
        <w:rPr>
          <w:bCs/>
          <w:i/>
          <w:iCs/>
          <w:sz w:val="28"/>
          <w:szCs w:val="28"/>
          <w:lang w:val="uk-UA"/>
        </w:rPr>
        <w:t xml:space="preserve">за </w:t>
      </w:r>
      <w:r>
        <w:rPr>
          <w:bCs/>
          <w:i/>
          <w:iCs/>
          <w:sz w:val="28"/>
          <w:szCs w:val="28"/>
          <w:lang w:val="uk-UA"/>
        </w:rPr>
        <w:t xml:space="preserve">розрахунками перевізників за 9 місяців 2019 року скористалися пільговим проїздом 788 осіб ( за місяць в середньому 99 осіб). </w:t>
      </w:r>
    </w:p>
    <w:p w:rsidR="00D5538E" w:rsidRPr="00D11BE6" w:rsidRDefault="00D5538E" w:rsidP="00D5538E">
      <w:pPr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  <w:lang w:val="uk-UA"/>
        </w:rPr>
        <w:t>99*17,55 грн.*1 талон*12 місяців = 20849,40 грн.</w:t>
      </w:r>
    </w:p>
    <w:p w:rsidR="00D5538E" w:rsidRPr="00D11BE6" w:rsidRDefault="00D5538E" w:rsidP="00D5538E">
      <w:pPr>
        <w:jc w:val="both"/>
        <w:rPr>
          <w:b/>
          <w:bCs/>
          <w:i/>
          <w:iCs/>
          <w:sz w:val="28"/>
          <w:szCs w:val="28"/>
        </w:rPr>
      </w:pPr>
    </w:p>
    <w:p w:rsidR="00D5538E" w:rsidRPr="00D11BE6" w:rsidRDefault="00D5538E" w:rsidP="00D5538E">
      <w:pPr>
        <w:jc w:val="both"/>
        <w:rPr>
          <w:b/>
          <w:bCs/>
          <w:i/>
          <w:iCs/>
          <w:sz w:val="28"/>
          <w:szCs w:val="28"/>
        </w:rPr>
      </w:pPr>
    </w:p>
    <w:p w:rsidR="00D5538E" w:rsidRPr="00D11BE6" w:rsidRDefault="00D5538E" w:rsidP="00D5538E">
      <w:pPr>
        <w:jc w:val="both"/>
        <w:rPr>
          <w:b/>
          <w:bCs/>
          <w:i/>
          <w:iCs/>
          <w:sz w:val="28"/>
          <w:szCs w:val="28"/>
        </w:rPr>
      </w:pPr>
    </w:p>
    <w:p w:rsidR="00D5538E" w:rsidRPr="00D11BE6" w:rsidRDefault="00D5538E" w:rsidP="00D5538E">
      <w:pPr>
        <w:jc w:val="both"/>
        <w:rPr>
          <w:b/>
          <w:bCs/>
          <w:i/>
          <w:iCs/>
          <w:sz w:val="28"/>
          <w:szCs w:val="28"/>
        </w:rPr>
      </w:pPr>
    </w:p>
    <w:p w:rsidR="00D5538E" w:rsidRPr="00D11BE6" w:rsidRDefault="00D5538E" w:rsidP="00D5538E">
      <w:pPr>
        <w:jc w:val="both"/>
        <w:rPr>
          <w:b/>
          <w:bCs/>
          <w:i/>
          <w:iCs/>
          <w:sz w:val="28"/>
          <w:szCs w:val="28"/>
        </w:rPr>
      </w:pPr>
    </w:p>
    <w:p w:rsidR="00D5538E" w:rsidRPr="00D11BE6" w:rsidRDefault="00D5538E" w:rsidP="00D5538E">
      <w:pPr>
        <w:jc w:val="both"/>
        <w:rPr>
          <w:b/>
          <w:bCs/>
          <w:i/>
          <w:iCs/>
          <w:sz w:val="28"/>
          <w:szCs w:val="28"/>
        </w:rPr>
      </w:pPr>
    </w:p>
    <w:p w:rsidR="00D5538E" w:rsidRPr="00D11BE6" w:rsidRDefault="00D5538E" w:rsidP="00D5538E">
      <w:pPr>
        <w:jc w:val="both"/>
        <w:rPr>
          <w:b/>
          <w:bCs/>
          <w:i/>
          <w:iCs/>
          <w:sz w:val="28"/>
          <w:szCs w:val="28"/>
        </w:rPr>
      </w:pPr>
    </w:p>
    <w:p w:rsidR="00D5538E" w:rsidRPr="00D11BE6" w:rsidRDefault="00D5538E" w:rsidP="00D5538E">
      <w:pPr>
        <w:jc w:val="both"/>
        <w:rPr>
          <w:b/>
          <w:bCs/>
          <w:i/>
          <w:iCs/>
          <w:sz w:val="28"/>
          <w:szCs w:val="28"/>
        </w:rPr>
      </w:pPr>
    </w:p>
    <w:p w:rsidR="00D5538E" w:rsidRPr="00D11BE6" w:rsidRDefault="00D5538E" w:rsidP="00D5538E">
      <w:pPr>
        <w:jc w:val="both"/>
        <w:rPr>
          <w:b/>
          <w:bCs/>
          <w:i/>
          <w:iCs/>
          <w:sz w:val="28"/>
          <w:szCs w:val="28"/>
        </w:rPr>
      </w:pPr>
    </w:p>
    <w:p w:rsidR="00D5538E" w:rsidRPr="00D11BE6" w:rsidRDefault="00D5538E" w:rsidP="00D5538E">
      <w:pPr>
        <w:jc w:val="both"/>
        <w:rPr>
          <w:b/>
          <w:bCs/>
          <w:i/>
          <w:iCs/>
          <w:sz w:val="28"/>
          <w:szCs w:val="28"/>
        </w:rPr>
      </w:pPr>
    </w:p>
    <w:p w:rsidR="00D5538E" w:rsidRPr="00D11BE6" w:rsidRDefault="00D5538E" w:rsidP="00D5538E">
      <w:pPr>
        <w:jc w:val="both"/>
        <w:rPr>
          <w:b/>
          <w:bCs/>
          <w:i/>
          <w:iCs/>
          <w:sz w:val="28"/>
          <w:szCs w:val="28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Pr="00FD58C7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Pr="006A390B" w:rsidRDefault="00D5538E" w:rsidP="00D553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5538E" w:rsidRPr="005D1991" w:rsidRDefault="00D5538E" w:rsidP="00D5538E">
      <w:pPr>
        <w:jc w:val="right"/>
        <w:rPr>
          <w:sz w:val="28"/>
          <w:szCs w:val="28"/>
          <w:lang w:val="uk-UA"/>
        </w:rPr>
      </w:pPr>
      <w:r w:rsidRPr="00D11BE6">
        <w:tab/>
      </w:r>
      <w:r w:rsidRPr="00D11BE6">
        <w:tab/>
      </w:r>
      <w:r w:rsidRPr="00D11BE6">
        <w:tab/>
      </w:r>
      <w:r w:rsidRPr="00D11BE6">
        <w:tab/>
      </w:r>
      <w:r w:rsidRPr="00D11BE6">
        <w:tab/>
      </w:r>
      <w:r w:rsidRPr="00D11BE6">
        <w:tab/>
      </w:r>
      <w:r w:rsidRPr="00D11BE6">
        <w:tab/>
      </w:r>
      <w:r w:rsidRPr="00D11BE6">
        <w:tab/>
      </w:r>
      <w:r w:rsidRPr="00D11BE6">
        <w:tab/>
      </w:r>
      <w:r w:rsidRPr="005D1991">
        <w:rPr>
          <w:sz w:val="28"/>
          <w:szCs w:val="28"/>
          <w:lang w:val="uk-UA"/>
        </w:rPr>
        <w:t>Проект</w:t>
      </w:r>
    </w:p>
    <w:p w:rsidR="00D5538E" w:rsidRDefault="00D5538E" w:rsidP="00D5538E">
      <w:pPr>
        <w:rPr>
          <w:lang w:val="uk-UA"/>
        </w:rPr>
      </w:pPr>
    </w:p>
    <w:p w:rsidR="00D5538E" w:rsidRDefault="00D5538E" w:rsidP="00D5538E">
      <w:pPr>
        <w:jc w:val="center"/>
        <w:rPr>
          <w:b/>
          <w:sz w:val="28"/>
          <w:szCs w:val="28"/>
          <w:lang w:val="uk-UA"/>
        </w:rPr>
      </w:pPr>
      <w:r w:rsidRPr="005D1991">
        <w:rPr>
          <w:b/>
          <w:sz w:val="28"/>
          <w:szCs w:val="28"/>
          <w:lang w:val="uk-UA"/>
        </w:rPr>
        <w:lastRenderedPageBreak/>
        <w:t>Рішення</w:t>
      </w:r>
    </w:p>
    <w:p w:rsidR="00D5538E" w:rsidRDefault="00D5538E" w:rsidP="00D5538E">
      <w:pPr>
        <w:jc w:val="center"/>
        <w:rPr>
          <w:b/>
          <w:sz w:val="28"/>
          <w:szCs w:val="28"/>
          <w:lang w:val="uk-UA"/>
        </w:rPr>
      </w:pPr>
    </w:p>
    <w:p w:rsidR="00D5538E" w:rsidRPr="005D1991" w:rsidRDefault="00D5538E" w:rsidP="00D5538E">
      <w:pPr>
        <w:jc w:val="center"/>
        <w:rPr>
          <w:b/>
          <w:sz w:val="28"/>
          <w:szCs w:val="28"/>
          <w:lang w:val="uk-UA"/>
        </w:rPr>
      </w:pPr>
    </w:p>
    <w:p w:rsidR="00D5538E" w:rsidRDefault="00D5538E" w:rsidP="00D5538E">
      <w:pPr>
        <w:rPr>
          <w:b/>
          <w:bCs/>
          <w:i/>
          <w:iCs/>
          <w:sz w:val="28"/>
          <w:szCs w:val="28"/>
        </w:rPr>
      </w:pPr>
      <w:r w:rsidRPr="00B14430">
        <w:rPr>
          <w:b/>
          <w:bCs/>
          <w:i/>
          <w:iCs/>
          <w:sz w:val="28"/>
          <w:szCs w:val="28"/>
        </w:rPr>
        <w:t xml:space="preserve">Про </w:t>
      </w:r>
      <w:r>
        <w:rPr>
          <w:b/>
          <w:bCs/>
          <w:i/>
          <w:iCs/>
          <w:sz w:val="28"/>
          <w:szCs w:val="28"/>
          <w:lang w:val="uk-UA"/>
        </w:rPr>
        <w:t xml:space="preserve">затвердження </w:t>
      </w:r>
      <w:proofErr w:type="spellStart"/>
      <w:r w:rsidRPr="00B14430">
        <w:rPr>
          <w:b/>
          <w:bCs/>
          <w:i/>
          <w:iCs/>
          <w:sz w:val="28"/>
          <w:szCs w:val="28"/>
        </w:rPr>
        <w:t>районної</w:t>
      </w:r>
      <w:proofErr w:type="spellEnd"/>
      <w:r w:rsidRPr="00B1443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14430">
        <w:rPr>
          <w:b/>
          <w:bCs/>
          <w:i/>
          <w:iCs/>
          <w:sz w:val="28"/>
          <w:szCs w:val="28"/>
        </w:rPr>
        <w:t>Програми</w:t>
      </w:r>
      <w:proofErr w:type="spellEnd"/>
      <w:r w:rsidRPr="00B14430">
        <w:rPr>
          <w:b/>
          <w:bCs/>
          <w:i/>
          <w:iCs/>
          <w:sz w:val="28"/>
          <w:szCs w:val="28"/>
        </w:rPr>
        <w:t xml:space="preserve"> </w:t>
      </w:r>
    </w:p>
    <w:p w:rsidR="00D5538E" w:rsidRDefault="00D5538E" w:rsidP="00D5538E">
      <w:pPr>
        <w:rPr>
          <w:b/>
          <w:bCs/>
          <w:i/>
          <w:iCs/>
          <w:sz w:val="28"/>
          <w:szCs w:val="28"/>
        </w:rPr>
      </w:pPr>
      <w:proofErr w:type="spellStart"/>
      <w:r w:rsidRPr="00B14430">
        <w:rPr>
          <w:b/>
          <w:bCs/>
          <w:i/>
          <w:iCs/>
          <w:sz w:val="28"/>
          <w:szCs w:val="28"/>
        </w:rPr>
        <w:t>відшкодування</w:t>
      </w:r>
      <w:proofErr w:type="spellEnd"/>
      <w:r w:rsidRPr="00B1443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14430">
        <w:rPr>
          <w:b/>
          <w:bCs/>
          <w:i/>
          <w:iCs/>
          <w:sz w:val="28"/>
          <w:szCs w:val="28"/>
        </w:rPr>
        <w:t>компенсації</w:t>
      </w:r>
      <w:proofErr w:type="spellEnd"/>
      <w:r w:rsidRPr="00B14430">
        <w:rPr>
          <w:b/>
          <w:bCs/>
          <w:i/>
          <w:iCs/>
          <w:sz w:val="28"/>
          <w:szCs w:val="28"/>
        </w:rPr>
        <w:t xml:space="preserve"> за </w:t>
      </w:r>
      <w:proofErr w:type="spellStart"/>
      <w:r w:rsidRPr="00B14430">
        <w:rPr>
          <w:b/>
          <w:bCs/>
          <w:i/>
          <w:iCs/>
          <w:sz w:val="28"/>
          <w:szCs w:val="28"/>
        </w:rPr>
        <w:t>перевезення</w:t>
      </w:r>
      <w:proofErr w:type="spellEnd"/>
    </w:p>
    <w:p w:rsidR="00D5538E" w:rsidRDefault="00D5538E" w:rsidP="00D5538E">
      <w:pPr>
        <w:rPr>
          <w:b/>
          <w:bCs/>
          <w:i/>
          <w:iCs/>
          <w:sz w:val="28"/>
          <w:szCs w:val="28"/>
        </w:rPr>
      </w:pPr>
      <w:r w:rsidRPr="00B1443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14430">
        <w:rPr>
          <w:b/>
          <w:bCs/>
          <w:i/>
          <w:iCs/>
          <w:sz w:val="28"/>
          <w:szCs w:val="28"/>
        </w:rPr>
        <w:t>окремих</w:t>
      </w:r>
      <w:proofErr w:type="spellEnd"/>
      <w:r w:rsidRPr="00B1443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14430">
        <w:rPr>
          <w:b/>
          <w:bCs/>
          <w:i/>
          <w:iCs/>
          <w:sz w:val="28"/>
          <w:szCs w:val="28"/>
        </w:rPr>
        <w:t>пільгових</w:t>
      </w:r>
      <w:proofErr w:type="spellEnd"/>
      <w:r w:rsidRPr="00B1443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14430">
        <w:rPr>
          <w:b/>
          <w:bCs/>
          <w:i/>
          <w:iCs/>
          <w:sz w:val="28"/>
          <w:szCs w:val="28"/>
        </w:rPr>
        <w:t>категорій</w:t>
      </w:r>
      <w:proofErr w:type="spellEnd"/>
      <w:r w:rsidRPr="00B1443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14430">
        <w:rPr>
          <w:b/>
          <w:bCs/>
          <w:i/>
          <w:iCs/>
          <w:sz w:val="28"/>
          <w:szCs w:val="28"/>
        </w:rPr>
        <w:t>громадян</w:t>
      </w:r>
      <w:proofErr w:type="spellEnd"/>
      <w:r w:rsidRPr="00B14430">
        <w:rPr>
          <w:b/>
          <w:bCs/>
          <w:i/>
          <w:iCs/>
          <w:sz w:val="28"/>
          <w:szCs w:val="28"/>
        </w:rPr>
        <w:t xml:space="preserve"> </w:t>
      </w:r>
    </w:p>
    <w:p w:rsidR="00D5538E" w:rsidRDefault="00D5538E" w:rsidP="00D5538E">
      <w:pPr>
        <w:rPr>
          <w:b/>
          <w:bCs/>
          <w:i/>
          <w:iCs/>
          <w:sz w:val="28"/>
          <w:szCs w:val="28"/>
        </w:rPr>
      </w:pPr>
      <w:r w:rsidRPr="00B14430">
        <w:rPr>
          <w:b/>
          <w:bCs/>
          <w:i/>
          <w:iCs/>
          <w:sz w:val="28"/>
          <w:szCs w:val="28"/>
        </w:rPr>
        <w:t xml:space="preserve">на </w:t>
      </w:r>
      <w:proofErr w:type="spellStart"/>
      <w:r w:rsidRPr="00B14430">
        <w:rPr>
          <w:b/>
          <w:bCs/>
          <w:i/>
          <w:iCs/>
          <w:sz w:val="28"/>
          <w:szCs w:val="28"/>
        </w:rPr>
        <w:t>приміських</w:t>
      </w:r>
      <w:proofErr w:type="spellEnd"/>
      <w:r w:rsidRPr="00B14430">
        <w:rPr>
          <w:b/>
          <w:bCs/>
          <w:i/>
          <w:iCs/>
          <w:sz w:val="28"/>
          <w:szCs w:val="28"/>
        </w:rPr>
        <w:t xml:space="preserve"> маршрутах </w:t>
      </w:r>
      <w:proofErr w:type="spellStart"/>
      <w:r w:rsidRPr="00B14430">
        <w:rPr>
          <w:b/>
          <w:bCs/>
          <w:i/>
          <w:iCs/>
          <w:sz w:val="28"/>
          <w:szCs w:val="28"/>
        </w:rPr>
        <w:t>загального</w:t>
      </w:r>
      <w:proofErr w:type="spellEnd"/>
      <w:r w:rsidRPr="00B14430">
        <w:rPr>
          <w:b/>
          <w:bCs/>
          <w:i/>
          <w:iCs/>
          <w:sz w:val="28"/>
          <w:szCs w:val="28"/>
        </w:rPr>
        <w:t xml:space="preserve"> </w:t>
      </w:r>
    </w:p>
    <w:p w:rsidR="00D5538E" w:rsidRDefault="00D5538E" w:rsidP="00D5538E">
      <w:pPr>
        <w:rPr>
          <w:b/>
          <w:bCs/>
          <w:i/>
          <w:iCs/>
          <w:sz w:val="28"/>
          <w:szCs w:val="28"/>
        </w:rPr>
      </w:pPr>
      <w:proofErr w:type="spellStart"/>
      <w:r w:rsidRPr="00B14430">
        <w:rPr>
          <w:b/>
          <w:bCs/>
          <w:i/>
          <w:iCs/>
          <w:sz w:val="28"/>
          <w:szCs w:val="28"/>
        </w:rPr>
        <w:t>користування</w:t>
      </w:r>
      <w:proofErr w:type="spellEnd"/>
      <w:r w:rsidRPr="00B1443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14430">
        <w:rPr>
          <w:b/>
          <w:bCs/>
          <w:i/>
          <w:iCs/>
          <w:sz w:val="28"/>
          <w:szCs w:val="28"/>
        </w:rPr>
        <w:t>автомобільним</w:t>
      </w:r>
      <w:proofErr w:type="spellEnd"/>
      <w:r w:rsidRPr="00B14430">
        <w:rPr>
          <w:b/>
          <w:bCs/>
          <w:i/>
          <w:iCs/>
          <w:sz w:val="28"/>
          <w:szCs w:val="28"/>
        </w:rPr>
        <w:t xml:space="preserve"> транспортом</w:t>
      </w:r>
    </w:p>
    <w:p w:rsidR="00D5538E" w:rsidRPr="00B14430" w:rsidRDefault="00D5538E" w:rsidP="00D5538E">
      <w:pPr>
        <w:rPr>
          <w:b/>
          <w:bCs/>
          <w:i/>
          <w:iCs/>
          <w:sz w:val="28"/>
          <w:szCs w:val="28"/>
        </w:rPr>
      </w:pPr>
      <w:r w:rsidRPr="00B14430">
        <w:rPr>
          <w:b/>
          <w:bCs/>
          <w:i/>
          <w:iCs/>
          <w:sz w:val="28"/>
          <w:szCs w:val="28"/>
        </w:rPr>
        <w:t xml:space="preserve">у </w:t>
      </w:r>
      <w:proofErr w:type="spellStart"/>
      <w:r w:rsidRPr="00B14430">
        <w:rPr>
          <w:b/>
          <w:bCs/>
          <w:i/>
          <w:iCs/>
          <w:sz w:val="28"/>
          <w:szCs w:val="28"/>
        </w:rPr>
        <w:t>Ніжинському</w:t>
      </w:r>
      <w:proofErr w:type="spellEnd"/>
      <w:r w:rsidRPr="00B1443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14430">
        <w:rPr>
          <w:b/>
          <w:bCs/>
          <w:i/>
          <w:iCs/>
          <w:sz w:val="28"/>
          <w:szCs w:val="28"/>
        </w:rPr>
        <w:t>районі</w:t>
      </w:r>
      <w:proofErr w:type="spellEnd"/>
      <w:r w:rsidRPr="00B14430">
        <w:rPr>
          <w:b/>
          <w:bCs/>
          <w:i/>
          <w:iCs/>
          <w:sz w:val="28"/>
          <w:szCs w:val="28"/>
        </w:rPr>
        <w:t xml:space="preserve"> на 20</w:t>
      </w:r>
      <w:r>
        <w:rPr>
          <w:b/>
          <w:bCs/>
          <w:i/>
          <w:iCs/>
          <w:sz w:val="28"/>
          <w:szCs w:val="28"/>
          <w:lang w:val="uk-UA"/>
        </w:rPr>
        <w:t>20</w:t>
      </w:r>
      <w:r w:rsidRPr="00B1443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14430">
        <w:rPr>
          <w:b/>
          <w:bCs/>
          <w:i/>
          <w:iCs/>
          <w:sz w:val="28"/>
          <w:szCs w:val="28"/>
        </w:rPr>
        <w:t>рік</w:t>
      </w:r>
      <w:proofErr w:type="spellEnd"/>
    </w:p>
    <w:p w:rsidR="00D5538E" w:rsidRPr="00E85BC9" w:rsidRDefault="00D5538E" w:rsidP="00D5538E">
      <w:pPr>
        <w:rPr>
          <w:b/>
          <w:sz w:val="28"/>
          <w:szCs w:val="28"/>
          <w:lang w:val="uk-UA"/>
        </w:rPr>
      </w:pPr>
    </w:p>
    <w:p w:rsidR="00D5538E" w:rsidRPr="0005373C" w:rsidRDefault="00D5538E" w:rsidP="00D5538E">
      <w:pPr>
        <w:jc w:val="both"/>
        <w:rPr>
          <w:b/>
          <w:i/>
          <w:sz w:val="27"/>
          <w:szCs w:val="27"/>
        </w:rPr>
      </w:pPr>
    </w:p>
    <w:p w:rsidR="00D5538E" w:rsidRPr="00FD0654" w:rsidRDefault="00D5538E" w:rsidP="00D5538E">
      <w:pPr>
        <w:ind w:firstLine="708"/>
        <w:jc w:val="both"/>
        <w:rPr>
          <w:b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Розглянувши подання Ніжинської районної державної адміністрації з метою організації пільгового проїзду окремих категорій громадян</w:t>
      </w:r>
      <w:r w:rsidRPr="00AF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автомобільним транспортом загального користування на приміських маршрутах, відповідно до статей 29 та 37 Закону України «Про автомобільний транспорт»</w:t>
      </w:r>
      <w:r w:rsidRPr="00AF3A89">
        <w:rPr>
          <w:sz w:val="28"/>
          <w:szCs w:val="28"/>
          <w:lang w:val="uk-UA"/>
        </w:rPr>
        <w:t xml:space="preserve"> </w:t>
      </w:r>
      <w:r w:rsidRPr="00E85BC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E85BC9">
        <w:rPr>
          <w:sz w:val="28"/>
          <w:szCs w:val="28"/>
          <w:lang w:val="uk-UA"/>
        </w:rPr>
        <w:t xml:space="preserve"> 91 Бюджетного Кодексу України</w:t>
      </w:r>
      <w:r>
        <w:rPr>
          <w:sz w:val="28"/>
          <w:szCs w:val="28"/>
          <w:lang w:val="uk-UA"/>
        </w:rPr>
        <w:t>, керуючись статтею 43 Закону України «Про місцеве самоврядування в Україні</w:t>
      </w:r>
      <w:r w:rsidRPr="00E85BC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рекомендаціями постійної комісії районної ради з питань бюджету, соціально-економічного розвитку району та комунальної власності </w:t>
      </w:r>
      <w:r w:rsidRPr="00AF3A89">
        <w:rPr>
          <w:b/>
          <w:sz w:val="28"/>
          <w:szCs w:val="28"/>
          <w:lang w:val="uk-UA"/>
        </w:rPr>
        <w:t>районна рада вирішила</w:t>
      </w:r>
      <w:r>
        <w:rPr>
          <w:sz w:val="28"/>
          <w:szCs w:val="28"/>
          <w:lang w:val="uk-UA"/>
        </w:rPr>
        <w:t>:</w:t>
      </w:r>
    </w:p>
    <w:p w:rsidR="00D5538E" w:rsidRPr="00FD0654" w:rsidRDefault="00D5538E" w:rsidP="00D5538E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E85BC9">
        <w:rPr>
          <w:sz w:val="28"/>
          <w:lang w:val="uk-UA"/>
        </w:rPr>
        <w:t>1.</w:t>
      </w:r>
      <w:r w:rsidRPr="00E85BC9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Затвердити</w:t>
      </w:r>
      <w:r>
        <w:rPr>
          <w:b/>
          <w:sz w:val="28"/>
          <w:lang w:val="uk-UA"/>
        </w:rPr>
        <w:t xml:space="preserve"> </w:t>
      </w:r>
      <w:r w:rsidRPr="00E85BC9">
        <w:rPr>
          <w:sz w:val="28"/>
          <w:lang w:val="uk-UA"/>
        </w:rPr>
        <w:t xml:space="preserve">районну </w:t>
      </w:r>
      <w:r w:rsidRPr="00E85BC9">
        <w:rPr>
          <w:bCs/>
          <w:sz w:val="28"/>
          <w:lang w:val="uk-UA"/>
        </w:rPr>
        <w:t xml:space="preserve">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</w:t>
      </w:r>
      <w:r>
        <w:rPr>
          <w:bCs/>
          <w:sz w:val="28"/>
          <w:lang w:val="uk-UA"/>
        </w:rPr>
        <w:t>Ніжинс</w:t>
      </w:r>
      <w:r w:rsidRPr="00E85BC9">
        <w:rPr>
          <w:bCs/>
          <w:sz w:val="28"/>
          <w:lang w:val="uk-UA"/>
        </w:rPr>
        <w:t>ькому районі на 20</w:t>
      </w:r>
      <w:r>
        <w:rPr>
          <w:bCs/>
          <w:sz w:val="28"/>
          <w:lang w:val="uk-UA"/>
        </w:rPr>
        <w:t>20</w:t>
      </w:r>
      <w:r w:rsidRPr="00E85BC9">
        <w:rPr>
          <w:bCs/>
          <w:sz w:val="28"/>
          <w:lang w:val="uk-UA"/>
        </w:rPr>
        <w:t xml:space="preserve"> рік</w:t>
      </w:r>
      <w:r w:rsidRPr="00E85BC9">
        <w:rPr>
          <w:sz w:val="28"/>
          <w:lang w:val="uk-UA"/>
        </w:rPr>
        <w:t xml:space="preserve"> (додається).</w:t>
      </w:r>
    </w:p>
    <w:p w:rsidR="00D5538E" w:rsidRPr="00FD0654" w:rsidRDefault="00D5538E" w:rsidP="00D5538E">
      <w:pPr>
        <w:tabs>
          <w:tab w:val="left" w:pos="540"/>
        </w:tabs>
        <w:ind w:firstLine="709"/>
        <w:jc w:val="both"/>
        <w:rPr>
          <w:bCs/>
          <w:sz w:val="28"/>
          <w:lang w:val="uk-UA"/>
        </w:rPr>
      </w:pPr>
      <w:r w:rsidRPr="00E85BC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У</w:t>
      </w:r>
      <w:r>
        <w:rPr>
          <w:bCs/>
          <w:sz w:val="28"/>
          <w:lang w:val="uk-UA"/>
        </w:rPr>
        <w:t>правлінню соціального захисту населення, фінансовому управлінню районної державної адміністрації</w:t>
      </w:r>
      <w:r w:rsidRPr="00E85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E85BC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безпечити виконання заходів Пр</w:t>
      </w:r>
      <w:r w:rsidRPr="00E85BC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грами .</w:t>
      </w:r>
    </w:p>
    <w:p w:rsidR="00D5538E" w:rsidRPr="000374A0" w:rsidRDefault="00D5538E" w:rsidP="00D553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85BC9">
        <w:rPr>
          <w:sz w:val="28"/>
          <w:szCs w:val="28"/>
          <w:lang w:val="uk-UA"/>
        </w:rPr>
        <w:t xml:space="preserve"> </w:t>
      </w:r>
      <w:r w:rsidRPr="002D7647">
        <w:rPr>
          <w:sz w:val="28"/>
          <w:szCs w:val="28"/>
        </w:rPr>
        <w:t xml:space="preserve">Контроль за </w:t>
      </w:r>
      <w:proofErr w:type="spellStart"/>
      <w:r w:rsidRPr="002D7647"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>м</w:t>
      </w:r>
      <w:r w:rsidRPr="002D76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рішення </w:t>
      </w:r>
      <w:r w:rsidRPr="002D7647">
        <w:rPr>
          <w:sz w:val="28"/>
          <w:szCs w:val="28"/>
        </w:rPr>
        <w:t xml:space="preserve"> </w:t>
      </w:r>
      <w:proofErr w:type="spellStart"/>
      <w:r w:rsidRPr="002D7647">
        <w:rPr>
          <w:sz w:val="28"/>
          <w:szCs w:val="28"/>
        </w:rPr>
        <w:t>покласти</w:t>
      </w:r>
      <w:proofErr w:type="spellEnd"/>
      <w:proofErr w:type="gramEnd"/>
      <w:r w:rsidRPr="002D7647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постійні комісії районної ради</w:t>
      </w:r>
      <w:r w:rsidRPr="00AF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гуманітарних питань, охорони здоров’я та соціального захисту й бюджету, соціально-економічного розвитку району та комунальної власності.</w:t>
      </w:r>
    </w:p>
    <w:p w:rsidR="00D5538E" w:rsidRDefault="00D5538E" w:rsidP="00D5538E">
      <w:pPr>
        <w:jc w:val="both"/>
        <w:rPr>
          <w:b/>
          <w:sz w:val="28"/>
          <w:szCs w:val="28"/>
          <w:lang w:val="uk-UA"/>
        </w:rPr>
      </w:pPr>
    </w:p>
    <w:p w:rsidR="00D5538E" w:rsidRPr="00AF3A89" w:rsidRDefault="00D5538E" w:rsidP="00D5538E">
      <w:pPr>
        <w:ind w:firstLine="708"/>
        <w:jc w:val="both"/>
        <w:rPr>
          <w:b/>
          <w:sz w:val="28"/>
          <w:szCs w:val="28"/>
          <w:lang w:val="uk-UA"/>
        </w:rPr>
      </w:pPr>
    </w:p>
    <w:p w:rsidR="00D5538E" w:rsidRDefault="00D5538E" w:rsidP="00D5538E">
      <w:pPr>
        <w:jc w:val="both"/>
        <w:rPr>
          <w:b/>
          <w:sz w:val="28"/>
          <w:szCs w:val="28"/>
          <w:lang w:val="uk-UA"/>
        </w:rPr>
      </w:pPr>
    </w:p>
    <w:p w:rsidR="00D5538E" w:rsidRPr="006A390B" w:rsidRDefault="00D5538E" w:rsidP="00D5538E">
      <w:pPr>
        <w:jc w:val="both"/>
        <w:rPr>
          <w:sz w:val="28"/>
          <w:szCs w:val="28"/>
          <w:lang w:val="uk-UA"/>
        </w:rPr>
      </w:pPr>
    </w:p>
    <w:p w:rsidR="00D5538E" w:rsidRPr="006A390B" w:rsidRDefault="00D5538E" w:rsidP="00D5538E">
      <w:pPr>
        <w:jc w:val="both"/>
        <w:rPr>
          <w:sz w:val="28"/>
          <w:szCs w:val="28"/>
          <w:lang w:val="uk-UA"/>
        </w:rPr>
      </w:pPr>
    </w:p>
    <w:p w:rsidR="00AA7A40" w:rsidRPr="00D5538E" w:rsidRDefault="00AA7A40">
      <w:pPr>
        <w:rPr>
          <w:lang w:val="uk-UA"/>
        </w:rPr>
      </w:pPr>
      <w:bookmarkStart w:id="0" w:name="_GoBack"/>
      <w:bookmarkEnd w:id="0"/>
    </w:p>
    <w:sectPr w:rsidR="00AA7A40" w:rsidRPr="00D5538E" w:rsidSect="002570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0E"/>
    <w:multiLevelType w:val="hybridMultilevel"/>
    <w:tmpl w:val="CCEAD9BC"/>
    <w:lvl w:ilvl="0" w:tplc="4E9C433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6A"/>
    <w:rsid w:val="00AA7A40"/>
    <w:rsid w:val="00C3426A"/>
    <w:rsid w:val="00D5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FE60B-0A59-482C-955A-CAF019DF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38E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D55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5045</Words>
  <Characters>2877</Characters>
  <Application>Microsoft Office Word</Application>
  <DocSecurity>0</DocSecurity>
  <Lines>23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2020-01-03T10:09:00Z</dcterms:created>
  <dcterms:modified xsi:type="dcterms:W3CDTF">2020-01-03T10:10:00Z</dcterms:modified>
</cp:coreProperties>
</file>